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7E" w:rsidRDefault="00504C7E">
      <w:pPr>
        <w:autoSpaceDE w:val="0"/>
        <w:autoSpaceDN w:val="0"/>
        <w:textAlignment w:val="center"/>
        <w:rPr>
          <w:rFonts w:ascii="ＭＳ 明朝"/>
          <w:kern w:val="0"/>
        </w:rPr>
      </w:pPr>
      <w:bookmarkStart w:id="0" w:name="_GoBack"/>
      <w:bookmarkEnd w:id="0"/>
    </w:p>
    <w:p w:rsidR="00504C7E" w:rsidRDefault="00504C7E">
      <w:pPr>
        <w:autoSpaceDE w:val="0"/>
        <w:autoSpaceDN w:val="0"/>
        <w:jc w:val="center"/>
        <w:textAlignment w:val="center"/>
        <w:rPr>
          <w:rFonts w:ascii="ＭＳ ゴシック" w:eastAsia="ＭＳ ゴシック"/>
          <w:kern w:val="0"/>
          <w:sz w:val="28"/>
        </w:rPr>
      </w:pPr>
      <w:r>
        <w:rPr>
          <w:rFonts w:ascii="ＭＳ ゴシック" w:eastAsia="ＭＳ ゴシック" w:hint="eastAsia"/>
          <w:kern w:val="0"/>
          <w:sz w:val="28"/>
        </w:rPr>
        <w:t>逆引振替に関する規則</w:t>
      </w:r>
    </w:p>
    <w:p w:rsidR="00504C7E" w:rsidRDefault="00504C7E">
      <w:pPr>
        <w:autoSpaceDE w:val="0"/>
        <w:autoSpaceDN w:val="0"/>
        <w:textAlignment w:val="center"/>
        <w:rPr>
          <w:rFonts w:ascii="ＭＳ 明朝"/>
          <w:kern w:val="0"/>
        </w:rPr>
      </w:pPr>
    </w:p>
    <w:p w:rsidR="00A24AC3" w:rsidRDefault="00A24AC3">
      <w:pPr>
        <w:autoSpaceDE w:val="0"/>
        <w:autoSpaceDN w:val="0"/>
        <w:spacing w:line="240" w:lineRule="exact"/>
        <w:jc w:val="right"/>
        <w:textAlignment w:val="center"/>
        <w:rPr>
          <w:rFonts w:ascii="ＭＳ 明朝"/>
          <w:kern w:val="0"/>
          <w:sz w:val="20"/>
        </w:rPr>
      </w:pPr>
    </w:p>
    <w:p w:rsidR="00504C7E" w:rsidRDefault="00504C7E">
      <w:pPr>
        <w:autoSpaceDE w:val="0"/>
        <w:autoSpaceDN w:val="0"/>
        <w:textAlignment w:val="center"/>
        <w:rPr>
          <w:rFonts w:ascii="ＭＳ 明朝"/>
          <w:kern w:val="0"/>
        </w:rPr>
      </w:pPr>
    </w:p>
    <w:p w:rsidR="00504C7E" w:rsidRDefault="00504C7E">
      <w:pPr>
        <w:autoSpaceDE w:val="0"/>
        <w:autoSpaceDN w:val="0"/>
        <w:textAlignment w:val="center"/>
        <w:rPr>
          <w:rFonts w:ascii="ＭＳ 明朝"/>
          <w:kern w:val="0"/>
        </w:rPr>
      </w:pPr>
      <w:r>
        <w:rPr>
          <w:rFonts w:ascii="ＭＳ 明朝" w:hint="eastAsia"/>
          <w:kern w:val="0"/>
        </w:rPr>
        <w:t>（逆引振替の依頼）</w:t>
      </w:r>
    </w:p>
    <w:p w:rsidR="00504C7E" w:rsidRDefault="00504C7E">
      <w:pPr>
        <w:autoSpaceDE w:val="0"/>
        <w:autoSpaceDN w:val="0"/>
        <w:ind w:left="238" w:hanging="238"/>
        <w:textAlignment w:val="center"/>
        <w:rPr>
          <w:rFonts w:ascii="ＭＳ 明朝"/>
          <w:kern w:val="0"/>
        </w:rPr>
      </w:pPr>
      <w:r>
        <w:rPr>
          <w:rFonts w:ascii="ＭＳ 明朝" w:hint="eastAsia"/>
          <w:kern w:val="0"/>
        </w:rPr>
        <w:t>第１条　逆引振替に関する特約（以下「特約」という。）において逆引通知店として指定された</w:t>
      </w:r>
      <w:r w:rsidR="00A24AC3">
        <w:rPr>
          <w:rFonts w:ascii="ＭＳ 明朝" w:hint="eastAsia"/>
          <w:kern w:val="0"/>
        </w:rPr>
        <w:t>取引</w:t>
      </w:r>
      <w:r>
        <w:rPr>
          <w:rFonts w:ascii="ＭＳ 明朝" w:hint="eastAsia"/>
          <w:kern w:val="0"/>
        </w:rPr>
        <w:t>先</w:t>
      </w:r>
      <w:r w:rsidR="00A24AC3">
        <w:rPr>
          <w:rFonts w:ascii="ＭＳ 明朝" w:hint="eastAsia"/>
          <w:kern w:val="0"/>
        </w:rPr>
        <w:t>（当座勘定規定第１条の２の取引先をいう。以下同じ。）</w:t>
      </w:r>
      <w:r>
        <w:rPr>
          <w:rFonts w:ascii="ＭＳ 明朝" w:hint="eastAsia"/>
          <w:kern w:val="0"/>
        </w:rPr>
        <w:t>は、当該特約において被逆引店として指定された</w:t>
      </w:r>
      <w:r w:rsidR="00246EFE">
        <w:rPr>
          <w:rFonts w:ascii="ＭＳ 明朝" w:hint="eastAsia"/>
          <w:kern w:val="0"/>
        </w:rPr>
        <w:t>取引</w:t>
      </w:r>
      <w:r>
        <w:rPr>
          <w:rFonts w:ascii="ＭＳ 明朝" w:hint="eastAsia"/>
          <w:kern w:val="0"/>
        </w:rPr>
        <w:t>先の当座勘定から一定の金額を引落し、これを自己の当座勘定に入金することを、日本銀行に依頼することができる。ただし、その依頼（以下「逆引通知」という。）は、日本銀行金融ネットワークシステム（以下「日銀ネット」という。）を利用して行うものとする。</w:t>
      </w:r>
    </w:p>
    <w:p w:rsidR="00504C7E" w:rsidRDefault="00504C7E">
      <w:pPr>
        <w:autoSpaceDE w:val="0"/>
        <w:autoSpaceDN w:val="0"/>
        <w:ind w:left="240" w:hanging="240"/>
        <w:textAlignment w:val="center"/>
        <w:rPr>
          <w:rFonts w:ascii="ＭＳ 明朝"/>
          <w:kern w:val="0"/>
        </w:rPr>
      </w:pPr>
      <w:r>
        <w:rPr>
          <w:rFonts w:ascii="ＭＳ 明朝" w:hint="eastAsia"/>
          <w:kern w:val="0"/>
        </w:rPr>
        <w:t>２．逆引通知店は、逆引通知を行う場合には、予め被逆引店にその旨を連絡するものとする。</w:t>
      </w:r>
      <w:r w:rsidR="00A24AC3">
        <w:rPr>
          <w:rFonts w:ascii="ＭＳ 明朝" w:hint="eastAsia"/>
          <w:kern w:val="0"/>
        </w:rPr>
        <w:t>ただし、逆引通知店および被逆引店が同一の営業所等である場合には、この連絡を要しない。</w:t>
      </w:r>
    </w:p>
    <w:p w:rsidR="00504C7E" w:rsidRDefault="00504C7E">
      <w:pPr>
        <w:autoSpaceDE w:val="0"/>
        <w:autoSpaceDN w:val="0"/>
        <w:textAlignment w:val="center"/>
        <w:rPr>
          <w:rFonts w:ascii="ＭＳ 明朝"/>
          <w:kern w:val="0"/>
        </w:rPr>
      </w:pPr>
      <w:r>
        <w:rPr>
          <w:rFonts w:ascii="ＭＳ 明朝" w:hint="eastAsia"/>
          <w:kern w:val="0"/>
        </w:rPr>
        <w:t>（逆引通知に関する当座勘定取引日銀ネット利用規則の準用）</w:t>
      </w:r>
    </w:p>
    <w:p w:rsidR="00504C7E" w:rsidRDefault="00504C7E">
      <w:pPr>
        <w:autoSpaceDE w:val="0"/>
        <w:autoSpaceDN w:val="0"/>
        <w:ind w:left="238" w:hanging="238"/>
        <w:textAlignment w:val="center"/>
        <w:rPr>
          <w:rFonts w:ascii="ＭＳ 明朝"/>
          <w:kern w:val="0"/>
        </w:rPr>
      </w:pPr>
      <w:r>
        <w:rPr>
          <w:rFonts w:ascii="ＭＳ 明朝" w:hint="eastAsia"/>
          <w:kern w:val="0"/>
        </w:rPr>
        <w:t>第２条　当座勘定取引についての日本銀行金融ネットワークシステムの利用に関する規則（以下「当座勘定取引日銀ネット利用規則」という。）第４条の規定は、逆引通知ならびに日本銀行がその受信した逆引通知の電文に基づき行う当座勘定の引落および入金（以下「逆引振替」という。）について準用する。この場合において、同規則第４条中「振替依頼」とあるのは「逆引通知」と、同条中「振替」とあるのは「逆引振替」と読替えるものとする。</w:t>
      </w:r>
    </w:p>
    <w:p w:rsidR="00504C7E" w:rsidRDefault="00504C7E">
      <w:pPr>
        <w:autoSpaceDE w:val="0"/>
        <w:autoSpaceDN w:val="0"/>
        <w:ind w:left="238" w:hanging="238"/>
        <w:textAlignment w:val="center"/>
        <w:rPr>
          <w:rFonts w:ascii="ＭＳ 明朝"/>
          <w:kern w:val="0"/>
        </w:rPr>
      </w:pPr>
      <w:r>
        <w:rPr>
          <w:rFonts w:ascii="ＭＳ 明朝" w:hint="eastAsia"/>
          <w:kern w:val="0"/>
        </w:rPr>
        <w:t>（事務処理の通知に対する異議の連絡）</w:t>
      </w:r>
    </w:p>
    <w:p w:rsidR="00504C7E" w:rsidRDefault="00504C7E">
      <w:pPr>
        <w:autoSpaceDE w:val="0"/>
        <w:autoSpaceDN w:val="0"/>
        <w:ind w:left="238" w:hanging="238"/>
        <w:textAlignment w:val="center"/>
        <w:rPr>
          <w:rFonts w:ascii="ＭＳ 明朝"/>
          <w:kern w:val="0"/>
        </w:rPr>
      </w:pPr>
      <w:r>
        <w:rPr>
          <w:rFonts w:ascii="ＭＳ 明朝" w:hint="eastAsia"/>
          <w:kern w:val="0"/>
        </w:rPr>
        <w:t>第３条　逆引通知店が当座勘定取引日銀ネット利用規則第６条第１項の規定による通知を受信した場合において、当該通知の内容について異議のあるときにおける同条第２項の規定の適用については、同項中「日本銀行」とあるのは「日本銀行</w:t>
      </w:r>
      <w:r>
        <w:rPr>
          <w:rFonts w:ascii="ＭＳ 明朝" w:hint="eastAsia"/>
          <w:kern w:val="0"/>
        </w:rPr>
        <w:lastRenderedPageBreak/>
        <w:t>および被逆引店</w:t>
      </w:r>
      <w:r w:rsidR="00A24AC3">
        <w:rPr>
          <w:rFonts w:ascii="ＭＳ 明朝" w:hint="eastAsia"/>
          <w:kern w:val="0"/>
        </w:rPr>
        <w:t>（逆引通知店および被逆引店が同一の営業所等である場合を除く。）</w:t>
      </w:r>
      <w:r>
        <w:rPr>
          <w:rFonts w:ascii="ＭＳ 明朝" w:hint="eastAsia"/>
          <w:kern w:val="0"/>
        </w:rPr>
        <w:t>」とする。</w:t>
      </w:r>
    </w:p>
    <w:p w:rsidR="00504C7E" w:rsidRDefault="00504C7E">
      <w:pPr>
        <w:autoSpaceDE w:val="0"/>
        <w:autoSpaceDN w:val="0"/>
        <w:textAlignment w:val="center"/>
        <w:rPr>
          <w:rFonts w:ascii="ＭＳ 明朝"/>
          <w:kern w:val="0"/>
        </w:rPr>
      </w:pPr>
      <w:r>
        <w:rPr>
          <w:rFonts w:ascii="ＭＳ 明朝" w:hint="eastAsia"/>
          <w:kern w:val="0"/>
        </w:rPr>
        <w:t>（手数料の支払義務）</w:t>
      </w:r>
    </w:p>
    <w:p w:rsidR="00504C7E" w:rsidRDefault="00504C7E">
      <w:pPr>
        <w:autoSpaceDE w:val="0"/>
        <w:autoSpaceDN w:val="0"/>
        <w:ind w:left="238" w:hanging="238"/>
        <w:textAlignment w:val="center"/>
        <w:rPr>
          <w:rFonts w:ascii="ＭＳ 明朝"/>
          <w:kern w:val="0"/>
        </w:rPr>
      </w:pPr>
      <w:r>
        <w:rPr>
          <w:rFonts w:ascii="ＭＳ 明朝" w:hint="eastAsia"/>
          <w:kern w:val="0"/>
        </w:rPr>
        <w:t>第４条　日本銀行との間で特約を結んだ者（以下「特約先」という。）は、逆引振替に関して日本銀行が別に定める手数料を、日本銀行に支払うものとする。</w:t>
      </w:r>
    </w:p>
    <w:p w:rsidR="00504C7E" w:rsidRDefault="00504C7E">
      <w:pPr>
        <w:autoSpaceDE w:val="0"/>
        <w:autoSpaceDN w:val="0"/>
        <w:textAlignment w:val="center"/>
        <w:rPr>
          <w:rFonts w:ascii="ＭＳ 明朝"/>
          <w:kern w:val="0"/>
        </w:rPr>
      </w:pPr>
      <w:r>
        <w:rPr>
          <w:rFonts w:ascii="ＭＳ 明朝" w:hint="eastAsia"/>
          <w:kern w:val="0"/>
        </w:rPr>
        <w:t>（日銀ネット障害時等の取扱い）</w:t>
      </w:r>
    </w:p>
    <w:p w:rsidR="00504C7E" w:rsidRDefault="00504C7E">
      <w:pPr>
        <w:autoSpaceDE w:val="0"/>
        <w:autoSpaceDN w:val="0"/>
        <w:ind w:left="238" w:hanging="238"/>
        <w:textAlignment w:val="center"/>
        <w:rPr>
          <w:rFonts w:ascii="ＭＳ 明朝"/>
          <w:kern w:val="0"/>
        </w:rPr>
      </w:pPr>
      <w:r>
        <w:rPr>
          <w:rFonts w:ascii="ＭＳ 明朝" w:hint="eastAsia"/>
          <w:kern w:val="0"/>
        </w:rPr>
        <w:t>第５条　日本銀行は、日銀ネットの障害等によりこの規則の規定による取扱いができないと認めた場合には、この規則の規定と異なる取扱いをし、または特約先にこの規則の規定と異なる取扱いを指示することができる。</w:t>
      </w:r>
    </w:p>
    <w:p w:rsidR="00504C7E" w:rsidRDefault="00504C7E">
      <w:pPr>
        <w:autoSpaceDE w:val="0"/>
        <w:autoSpaceDN w:val="0"/>
        <w:ind w:left="238" w:hanging="238"/>
        <w:textAlignment w:val="center"/>
        <w:rPr>
          <w:rFonts w:ascii="ＭＳ 明朝"/>
          <w:kern w:val="0"/>
        </w:rPr>
      </w:pPr>
      <w:r>
        <w:rPr>
          <w:rFonts w:ascii="ＭＳ 明朝" w:hint="eastAsia"/>
          <w:kern w:val="0"/>
        </w:rPr>
        <w:t>（所要事項の決定等）</w:t>
      </w:r>
    </w:p>
    <w:p w:rsidR="00504C7E" w:rsidRDefault="00504C7E">
      <w:pPr>
        <w:autoSpaceDE w:val="0"/>
        <w:autoSpaceDN w:val="0"/>
        <w:ind w:left="238" w:hanging="238"/>
        <w:textAlignment w:val="center"/>
        <w:rPr>
          <w:rFonts w:ascii="ＭＳ 明朝"/>
          <w:kern w:val="0"/>
        </w:rPr>
      </w:pPr>
      <w:r>
        <w:rPr>
          <w:rFonts w:ascii="ＭＳ 明朝" w:hint="eastAsia"/>
          <w:kern w:val="0"/>
        </w:rPr>
        <w:t>第６条　日本銀行は、逆引振替の有する機能に鑑み、その適切な利用を確保するため、この規則に定めるもののほか、所要の事項を定め、または所要の措置を講ずることができる。</w:t>
      </w:r>
    </w:p>
    <w:p w:rsidR="00504C7E" w:rsidRDefault="00504C7E">
      <w:pPr>
        <w:autoSpaceDE w:val="0"/>
        <w:autoSpaceDN w:val="0"/>
        <w:ind w:left="238" w:hanging="238"/>
        <w:textAlignment w:val="center"/>
        <w:rPr>
          <w:rFonts w:ascii="ＭＳ 明朝"/>
          <w:kern w:val="0"/>
        </w:rPr>
      </w:pPr>
      <w:r>
        <w:rPr>
          <w:rFonts w:ascii="ＭＳ 明朝" w:hint="eastAsia"/>
          <w:kern w:val="0"/>
        </w:rPr>
        <w:t>（解約等）</w:t>
      </w:r>
    </w:p>
    <w:p w:rsidR="00504C7E" w:rsidRDefault="00504C7E">
      <w:pPr>
        <w:autoSpaceDE w:val="0"/>
        <w:autoSpaceDN w:val="0"/>
        <w:ind w:left="238" w:hanging="238"/>
        <w:textAlignment w:val="center"/>
        <w:rPr>
          <w:rFonts w:ascii="ＭＳ 明朝"/>
          <w:kern w:val="0"/>
        </w:rPr>
      </w:pPr>
      <w:r>
        <w:rPr>
          <w:rFonts w:ascii="ＭＳ 明朝" w:hint="eastAsia"/>
          <w:kern w:val="0"/>
        </w:rPr>
        <w:t>第７条　日本銀行または特約先は、１か月の予告期間をもって特約を解約することができる。当該解約のための意思表示は、書面により、特約先にあっては被逆引店の勘定店（当座勘定規定第１条</w:t>
      </w:r>
      <w:r w:rsidR="00DA70F6">
        <w:rPr>
          <w:rFonts w:ascii="ＭＳ 明朝" w:hint="eastAsia"/>
          <w:kern w:val="0"/>
        </w:rPr>
        <w:t>の２</w:t>
      </w:r>
      <w:r>
        <w:rPr>
          <w:rFonts w:ascii="ＭＳ 明朝" w:hint="eastAsia"/>
          <w:kern w:val="0"/>
        </w:rPr>
        <w:t>の勘定店をいう。）に対し、行うものとする。</w:t>
      </w:r>
    </w:p>
    <w:p w:rsidR="00504C7E" w:rsidRDefault="00504C7E">
      <w:pPr>
        <w:autoSpaceDE w:val="0"/>
        <w:autoSpaceDN w:val="0"/>
        <w:ind w:left="238" w:hanging="238"/>
        <w:textAlignment w:val="center"/>
        <w:rPr>
          <w:rFonts w:ascii="ＭＳ 明朝"/>
          <w:kern w:val="0"/>
        </w:rPr>
      </w:pPr>
      <w:r>
        <w:rPr>
          <w:rFonts w:ascii="ＭＳ 明朝" w:hint="eastAsia"/>
          <w:kern w:val="0"/>
        </w:rPr>
        <w:t>２．日本銀行は、次の各号の一に該当する場合には、直ちに当該特約先との特約を解約し、または当該特約先による逆引振替の利用を一定期間制限することができる。</w:t>
      </w:r>
    </w:p>
    <w:p w:rsidR="00504C7E" w:rsidRDefault="00504C7E">
      <w:pPr>
        <w:autoSpaceDE w:val="0"/>
        <w:autoSpaceDN w:val="0"/>
        <w:ind w:left="476" w:hanging="476"/>
        <w:textAlignment w:val="center"/>
        <w:rPr>
          <w:rFonts w:ascii="ＭＳ 明朝"/>
          <w:kern w:val="0"/>
        </w:rPr>
      </w:pPr>
      <w:r>
        <w:rPr>
          <w:rFonts w:ascii="ＭＳ 明朝" w:hint="eastAsia"/>
          <w:kern w:val="0"/>
        </w:rPr>
        <w:t>（１）特約先がこの規則に違反したとき。</w:t>
      </w:r>
    </w:p>
    <w:p w:rsidR="00504C7E" w:rsidRDefault="00504C7E">
      <w:pPr>
        <w:autoSpaceDE w:val="0"/>
        <w:autoSpaceDN w:val="0"/>
        <w:ind w:left="476" w:hanging="476"/>
        <w:textAlignment w:val="center"/>
        <w:rPr>
          <w:rFonts w:ascii="ＭＳ 明朝"/>
          <w:kern w:val="0"/>
        </w:rPr>
      </w:pPr>
      <w:r>
        <w:rPr>
          <w:rFonts w:ascii="ＭＳ 明朝" w:hint="eastAsia"/>
          <w:kern w:val="0"/>
        </w:rPr>
        <w:t>（２）特約先が第５条の規定により日本銀行が指示した事項に違反したとき。</w:t>
      </w:r>
    </w:p>
    <w:p w:rsidR="00504C7E" w:rsidRDefault="00504C7E">
      <w:pPr>
        <w:autoSpaceDE w:val="0"/>
        <w:autoSpaceDN w:val="0"/>
        <w:ind w:left="476" w:hanging="476"/>
        <w:textAlignment w:val="center"/>
        <w:rPr>
          <w:rFonts w:ascii="ＭＳ 明朝"/>
          <w:kern w:val="0"/>
        </w:rPr>
      </w:pPr>
      <w:r>
        <w:rPr>
          <w:rFonts w:ascii="ＭＳ 明朝" w:hint="eastAsia"/>
          <w:kern w:val="0"/>
        </w:rPr>
        <w:t>（３）特約先が第６条の規定により日本銀行が定めた事項に違反したとき。</w:t>
      </w:r>
    </w:p>
    <w:p w:rsidR="00504C7E" w:rsidRDefault="00504C7E">
      <w:pPr>
        <w:autoSpaceDE w:val="0"/>
        <w:autoSpaceDN w:val="0"/>
        <w:ind w:left="476" w:hanging="476"/>
        <w:textAlignment w:val="center"/>
        <w:rPr>
          <w:rFonts w:ascii="ＭＳ 明朝"/>
          <w:kern w:val="0"/>
        </w:rPr>
      </w:pPr>
      <w:r>
        <w:rPr>
          <w:rFonts w:ascii="ＭＳ 明朝" w:hint="eastAsia"/>
          <w:kern w:val="0"/>
        </w:rPr>
        <w:t>（４）当座勘定取引日銀ネット利用規則第１２条第２項各号に掲げるいずれかのとき。</w:t>
      </w:r>
    </w:p>
    <w:p w:rsidR="00504C7E" w:rsidRDefault="00504C7E">
      <w:pPr>
        <w:autoSpaceDE w:val="0"/>
        <w:autoSpaceDN w:val="0"/>
        <w:ind w:left="476" w:hanging="476"/>
        <w:textAlignment w:val="center"/>
        <w:rPr>
          <w:rFonts w:ascii="ＭＳ 明朝"/>
          <w:kern w:val="0"/>
        </w:rPr>
      </w:pPr>
      <w:r>
        <w:rPr>
          <w:rFonts w:ascii="ＭＳ 明朝" w:hint="eastAsia"/>
          <w:kern w:val="0"/>
        </w:rPr>
        <w:t>（５）その他逆引振替の円滑な利用を阻害するおそれがあると日本銀行が認めたとき。</w:t>
      </w:r>
    </w:p>
    <w:p w:rsidR="00504C7E" w:rsidRDefault="00504C7E">
      <w:pPr>
        <w:autoSpaceDE w:val="0"/>
        <w:autoSpaceDN w:val="0"/>
        <w:textAlignment w:val="center"/>
        <w:rPr>
          <w:rFonts w:ascii="ＭＳ 明朝"/>
          <w:kern w:val="0"/>
        </w:rPr>
      </w:pPr>
      <w:r>
        <w:rPr>
          <w:rFonts w:ascii="ＭＳ 明朝" w:hint="eastAsia"/>
          <w:kern w:val="0"/>
        </w:rPr>
        <w:t>（逆引振替の取扱いの廃止）</w:t>
      </w:r>
    </w:p>
    <w:p w:rsidR="00504C7E" w:rsidRDefault="00504C7E">
      <w:pPr>
        <w:autoSpaceDE w:val="0"/>
        <w:autoSpaceDN w:val="0"/>
        <w:ind w:left="238" w:hanging="238"/>
        <w:textAlignment w:val="center"/>
        <w:rPr>
          <w:rFonts w:ascii="ＭＳ 明朝"/>
          <w:kern w:val="0"/>
        </w:rPr>
      </w:pPr>
      <w:r>
        <w:rPr>
          <w:rFonts w:ascii="ＭＳ 明朝" w:hint="eastAsia"/>
          <w:kern w:val="0"/>
        </w:rPr>
        <w:t>第８条　日本銀行は、逆引振替の取扱いを行う必要がないと認めた場合には６か月の予告期間をもってすべての特約先との特約を解約することができる。</w:t>
      </w:r>
    </w:p>
    <w:p w:rsidR="00504C7E" w:rsidRDefault="00504C7E">
      <w:pPr>
        <w:autoSpaceDE w:val="0"/>
        <w:autoSpaceDN w:val="0"/>
        <w:textAlignment w:val="center"/>
        <w:rPr>
          <w:rFonts w:ascii="ＭＳ 明朝"/>
          <w:kern w:val="0"/>
        </w:rPr>
      </w:pPr>
      <w:r>
        <w:rPr>
          <w:rFonts w:ascii="ＭＳ 明朝" w:hint="eastAsia"/>
          <w:kern w:val="0"/>
        </w:rPr>
        <w:t>２．前項の場合において必要な事項は、日本銀行が定める。</w:t>
      </w:r>
    </w:p>
    <w:p w:rsidR="00504C7E" w:rsidRDefault="00504C7E">
      <w:pPr>
        <w:autoSpaceDE w:val="0"/>
        <w:autoSpaceDN w:val="0"/>
        <w:textAlignment w:val="center"/>
        <w:rPr>
          <w:rFonts w:ascii="ＭＳ 明朝"/>
          <w:kern w:val="0"/>
        </w:rPr>
      </w:pPr>
      <w:r>
        <w:rPr>
          <w:rFonts w:ascii="ＭＳ 明朝" w:hint="eastAsia"/>
          <w:kern w:val="0"/>
        </w:rPr>
        <w:t>（規則の改正）</w:t>
      </w:r>
    </w:p>
    <w:p w:rsidR="00504C7E" w:rsidRDefault="00504C7E">
      <w:pPr>
        <w:autoSpaceDE w:val="0"/>
        <w:autoSpaceDN w:val="0"/>
        <w:ind w:left="238" w:hanging="238"/>
        <w:textAlignment w:val="center"/>
        <w:rPr>
          <w:rFonts w:ascii="ＭＳ 明朝"/>
          <w:kern w:val="0"/>
        </w:rPr>
      </w:pPr>
      <w:r>
        <w:rPr>
          <w:rFonts w:ascii="ＭＳ 明朝" w:hint="eastAsia"/>
          <w:kern w:val="0"/>
        </w:rPr>
        <w:t>第９条　日本銀行は、逆引振替の有する機能に鑑み、その適切な利用を確保するため、必要ある場合は、この規則を改正することができる。</w:t>
      </w:r>
    </w:p>
    <w:sectPr w:rsidR="00504C7E" w:rsidSect="00BB1C9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503" w:bottom="1985" w:left="1503" w:header="851" w:footer="992" w:gutter="0"/>
      <w:pgNumType w:start="1"/>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B04" w:rsidRDefault="00FC1DAC">
      <w:r>
        <w:separator/>
      </w:r>
    </w:p>
  </w:endnote>
  <w:endnote w:type="continuationSeparator" w:id="0">
    <w:p w:rsidR="00600B04" w:rsidRDefault="00FC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90" w:rsidRDefault="00BB1C90" w:rsidP="00504C7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B1C90" w:rsidRDefault="00BB1C9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90" w:rsidRPr="00BB1C90" w:rsidRDefault="00BB1C90" w:rsidP="00BB1C90">
    <w:pPr>
      <w:pStyle w:val="a3"/>
      <w:framePr w:wrap="around" w:vAnchor="text" w:hAnchor="margin" w:xAlign="center" w:y="1"/>
      <w:autoSpaceDE w:val="0"/>
      <w:autoSpaceDN w:val="0"/>
      <w:rPr>
        <w:rStyle w:val="a4"/>
        <w:rFonts w:ascii="ＭＳ 明朝" w:hAnsi="ＭＳ 明朝"/>
        <w:sz w:val="21"/>
        <w:szCs w:val="21"/>
      </w:rPr>
    </w:pPr>
    <w:r w:rsidRPr="00BB1C90">
      <w:rPr>
        <w:rStyle w:val="a4"/>
        <w:rFonts w:ascii="ＭＳ 明朝" w:hAnsi="ＭＳ 明朝"/>
        <w:sz w:val="21"/>
        <w:szCs w:val="21"/>
      </w:rPr>
      <w:fldChar w:fldCharType="begin"/>
    </w:r>
    <w:r w:rsidRPr="00BB1C90">
      <w:rPr>
        <w:rStyle w:val="a4"/>
        <w:rFonts w:ascii="ＭＳ 明朝" w:hAnsi="ＭＳ 明朝"/>
        <w:sz w:val="21"/>
        <w:szCs w:val="21"/>
      </w:rPr>
      <w:instrText xml:space="preserve">PAGE  </w:instrText>
    </w:r>
    <w:r w:rsidRPr="00BB1C90">
      <w:rPr>
        <w:rStyle w:val="a4"/>
        <w:rFonts w:ascii="ＭＳ 明朝" w:hAnsi="ＭＳ 明朝"/>
        <w:sz w:val="21"/>
        <w:szCs w:val="21"/>
      </w:rPr>
      <w:fldChar w:fldCharType="separate"/>
    </w:r>
    <w:r w:rsidR="00764C54">
      <w:rPr>
        <w:rStyle w:val="a4"/>
        <w:rFonts w:ascii="ＭＳ 明朝" w:hAnsi="ＭＳ 明朝"/>
        <w:noProof/>
        <w:sz w:val="21"/>
        <w:szCs w:val="21"/>
      </w:rPr>
      <w:t>1</w:t>
    </w:r>
    <w:r w:rsidRPr="00BB1C90">
      <w:rPr>
        <w:rStyle w:val="a4"/>
        <w:rFonts w:ascii="ＭＳ 明朝" w:hAnsi="ＭＳ 明朝"/>
        <w:sz w:val="21"/>
        <w:szCs w:val="21"/>
      </w:rPr>
      <w:fldChar w:fldCharType="end"/>
    </w:r>
  </w:p>
  <w:p w:rsidR="00504C7E" w:rsidRDefault="00504C7E">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54" w:rsidRDefault="00764C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B04" w:rsidRDefault="00FC1DAC">
      <w:r>
        <w:separator/>
      </w:r>
    </w:p>
  </w:footnote>
  <w:footnote w:type="continuationSeparator" w:id="0">
    <w:p w:rsidR="00600B04" w:rsidRDefault="00FC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54" w:rsidRDefault="00764C5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54" w:rsidRDefault="00764C5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54" w:rsidRDefault="00764C5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C03"/>
    <w:multiLevelType w:val="singleLevel"/>
    <w:tmpl w:val="9196B774"/>
    <w:lvl w:ilvl="0">
      <w:start w:val="1"/>
      <w:numFmt w:val="decimal"/>
      <w:lvlText w:val="注%1."/>
      <w:lvlJc w:val="left"/>
      <w:pPr>
        <w:tabs>
          <w:tab w:val="num" w:pos="600"/>
        </w:tabs>
        <w:ind w:left="600" w:hanging="6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240"/>
  <w:displayHorizontalDrawingGridEvery w:val="0"/>
  <w:displayVerticalDrawingGridEvery w:val="2"/>
  <w:noPunctuationKerning/>
  <w:characterSpacingControl w:val="doNotCompress"/>
  <w:strictFirstAndLastChars/>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C90"/>
    <w:rsid w:val="001777AD"/>
    <w:rsid w:val="00246EFE"/>
    <w:rsid w:val="00257F5B"/>
    <w:rsid w:val="00446A0F"/>
    <w:rsid w:val="00504C7E"/>
    <w:rsid w:val="00600B04"/>
    <w:rsid w:val="00764C54"/>
    <w:rsid w:val="00A24AC3"/>
    <w:rsid w:val="00BB1C90"/>
    <w:rsid w:val="00DA70F6"/>
    <w:rsid w:val="00E66B87"/>
    <w:rsid w:val="00ED0DBC"/>
    <w:rsid w:val="00FC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uiPriority w:val="99"/>
    <w:semiHidden/>
    <w:unhideWhenUsed/>
    <w:rsid w:val="00E66B8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66B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2022-08-09T01:24:00Z</dcterms:created>
  <dcterms:modified xsi:type="dcterms:W3CDTF">2022-08-09T01:25:00Z</dcterms:modified>
</cp:coreProperties>
</file>