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0A" w:rsidRPr="00AC5A58" w:rsidRDefault="0015770A">
      <w:pPr>
        <w:pStyle w:val="a4"/>
      </w:pPr>
    </w:p>
    <w:p w:rsidR="0015770A" w:rsidRPr="00AC5A58" w:rsidRDefault="0015770A">
      <w:pPr>
        <w:pStyle w:val="a4"/>
      </w:pPr>
    </w:p>
    <w:p w:rsidR="0015770A" w:rsidRPr="00AF53EA" w:rsidRDefault="0015770A" w:rsidP="00AF53EA">
      <w:pPr>
        <w:pStyle w:val="a4"/>
        <w:spacing w:line="280" w:lineRule="exact"/>
        <w:jc w:val="center"/>
        <w:rPr>
          <w:rFonts w:ascii="ＭＳ ゴシック" w:eastAsia="ＭＳ ゴシック" w:hAnsi="ＭＳ ゴシック"/>
          <w:sz w:val="28"/>
          <w:szCs w:val="28"/>
        </w:rPr>
      </w:pPr>
      <w:r w:rsidRPr="00AF53EA">
        <w:rPr>
          <w:rFonts w:ascii="ＭＳ ゴシック" w:eastAsia="ＭＳ ゴシック" w:hAnsi="ＭＳ ゴシック" w:hint="eastAsia"/>
          <w:sz w:val="28"/>
          <w:szCs w:val="28"/>
        </w:rPr>
        <w:t>国債関係事務についての日本銀行金融ネット</w:t>
      </w:r>
    </w:p>
    <w:p w:rsidR="0015770A" w:rsidRPr="00AC5A58" w:rsidRDefault="0015770A" w:rsidP="00AF53EA">
      <w:pPr>
        <w:pStyle w:val="a4"/>
        <w:spacing w:line="280" w:lineRule="exact"/>
        <w:jc w:val="center"/>
      </w:pPr>
      <w:r w:rsidRPr="00AF53EA">
        <w:rPr>
          <w:rFonts w:ascii="ＭＳ ゴシック" w:eastAsia="ＭＳ ゴシック" w:hAnsi="ＭＳ ゴシック"/>
          <w:sz w:val="28"/>
          <w:szCs w:val="28"/>
        </w:rPr>
        <w:fldChar w:fldCharType="begin"/>
      </w:r>
      <w:r w:rsidRPr="00AF53EA">
        <w:rPr>
          <w:rFonts w:ascii="ＭＳ ゴシック" w:eastAsia="ＭＳ ゴシック" w:hAnsi="ＭＳ ゴシック"/>
          <w:sz w:val="28"/>
          <w:szCs w:val="28"/>
        </w:rPr>
        <w:instrText xml:space="preserve"> eq \o\ad(</w:instrText>
      </w:r>
      <w:r w:rsidRPr="00AF53EA">
        <w:rPr>
          <w:rFonts w:ascii="ＭＳ ゴシック" w:eastAsia="ＭＳ ゴシック" w:hAnsi="ＭＳ ゴシック" w:hint="eastAsia"/>
          <w:sz w:val="28"/>
          <w:szCs w:val="28"/>
        </w:rPr>
        <w:instrText>ワークシステムの利用に関する規則</w:instrText>
      </w:r>
      <w:r w:rsidRPr="00AF53EA">
        <w:rPr>
          <w:rFonts w:ascii="ＭＳ ゴシック" w:eastAsia="ＭＳ ゴシック" w:hAnsi="ＭＳ ゴシック"/>
          <w:sz w:val="28"/>
          <w:szCs w:val="28"/>
        </w:rPr>
        <w:instrText>,</w:instrText>
      </w:r>
      <w:r w:rsidRPr="00AF53EA">
        <w:rPr>
          <w:rFonts w:ascii="ＭＳ ゴシック" w:eastAsia="ＭＳ ゴシック" w:hAnsi="ＭＳ ゴシック" w:hint="eastAsia"/>
          <w:sz w:val="28"/>
          <w:szCs w:val="28"/>
        </w:rPr>
        <w:instrText xml:space="preserve">　　　　　　　　　　　　　　　　　　　　</w:instrText>
      </w:r>
      <w:r w:rsidRPr="00AF53EA">
        <w:rPr>
          <w:rFonts w:ascii="ＭＳ ゴシック" w:eastAsia="ＭＳ ゴシック" w:hAnsi="ＭＳ ゴシック"/>
          <w:sz w:val="28"/>
          <w:szCs w:val="28"/>
        </w:rPr>
        <w:instrText>)</w:instrText>
      </w:r>
      <w:r w:rsidRPr="00AF53EA">
        <w:rPr>
          <w:rFonts w:ascii="ＭＳ ゴシック" w:eastAsia="ＭＳ ゴシック" w:hAnsi="ＭＳ ゴシック"/>
          <w:sz w:val="28"/>
          <w:szCs w:val="28"/>
        </w:rPr>
        <w:fldChar w:fldCharType="end"/>
      </w:r>
    </w:p>
    <w:p w:rsidR="0015770A" w:rsidRPr="00AC5A58" w:rsidRDefault="0015770A">
      <w:pPr>
        <w:pStyle w:val="a4"/>
      </w:pPr>
    </w:p>
    <w:p w:rsidR="00D27C83" w:rsidRDefault="00D27C83">
      <w:pPr>
        <w:pStyle w:val="a4"/>
      </w:pPr>
    </w:p>
    <w:p w:rsidR="0015770A" w:rsidRPr="00AC5A58" w:rsidRDefault="0015770A">
      <w:pPr>
        <w:pStyle w:val="a4"/>
      </w:pPr>
      <w:r w:rsidRPr="00AC5A58">
        <w:rPr>
          <w:rFonts w:hint="eastAsia"/>
        </w:rPr>
        <w:t>（趣旨）</w:t>
      </w:r>
    </w:p>
    <w:p w:rsidR="0015770A" w:rsidRPr="00AC5A58" w:rsidRDefault="0015770A">
      <w:pPr>
        <w:pStyle w:val="a4"/>
        <w:ind w:left="227" w:hanging="227"/>
      </w:pPr>
      <w:r w:rsidRPr="00AC5A58">
        <w:rPr>
          <w:rFonts w:hint="eastAsia"/>
        </w:rPr>
        <w:t>第１条　この規則は、国債関係事務についての日本銀行金融ネットワークシステム（以下</w:t>
      </w:r>
      <w:bookmarkStart w:id="0" w:name="_GoBack"/>
      <w:bookmarkEnd w:id="0"/>
      <w:r w:rsidRPr="00AC5A58">
        <w:rPr>
          <w:rFonts w:hint="eastAsia"/>
        </w:rPr>
        <w:t>「日銀ネット」という。）の利用に関する基本的な事項を定める。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（利用先の承認）</w:t>
      </w:r>
    </w:p>
    <w:p w:rsidR="0015770A" w:rsidRPr="00AC5A58" w:rsidRDefault="0015770A">
      <w:pPr>
        <w:pStyle w:val="a4"/>
        <w:ind w:left="227" w:hanging="227"/>
      </w:pPr>
      <w:r w:rsidRPr="00AC5A58">
        <w:rPr>
          <w:rFonts w:hint="eastAsia"/>
        </w:rPr>
        <w:t>第２条　日本銀行との間で国債関係事務についての日銀ネットの利用を認められた者（以下「利用金融機関等」という。）は、日銀ネットの利用を行う営業所等（以下「利用先」という。）を日本銀行に書面により申出、その承認を得るものとする。利用先を変更する場合も同様とす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（利用のための届出）</w:t>
      </w:r>
    </w:p>
    <w:p w:rsidR="0015770A" w:rsidRPr="00AC5A58" w:rsidRDefault="0015770A">
      <w:pPr>
        <w:pStyle w:val="a4"/>
        <w:ind w:left="227" w:hanging="227"/>
      </w:pPr>
      <w:r w:rsidRPr="00AC5A58">
        <w:rPr>
          <w:rFonts w:hint="eastAsia"/>
        </w:rPr>
        <w:t>第３条　利用金融機関等は、次の各号に掲げる事項を日本銀行に書面により届出るものとする。</w:t>
      </w:r>
    </w:p>
    <w:p w:rsidR="0015770A" w:rsidRPr="00AC5A58" w:rsidRDefault="0015770A" w:rsidP="000B66B0">
      <w:pPr>
        <w:pStyle w:val="a4"/>
        <w:ind w:left="681" w:hanging="681"/>
      </w:pPr>
      <w:r w:rsidRPr="00AC5A58">
        <w:rPr>
          <w:rFonts w:hint="eastAsia"/>
        </w:rPr>
        <w:t>（１）利用金融機関等の</w:t>
      </w:r>
      <w:r w:rsidR="000B66B0">
        <w:rPr>
          <w:rFonts w:hint="eastAsia"/>
        </w:rPr>
        <w:t>名称</w:t>
      </w:r>
      <w:r w:rsidRPr="00AC5A58">
        <w:rPr>
          <w:rFonts w:hint="eastAsia"/>
        </w:rPr>
        <w:t>および所在地</w:t>
      </w:r>
    </w:p>
    <w:p w:rsidR="0015770A" w:rsidRPr="00AC5A58" w:rsidRDefault="0015770A" w:rsidP="000B66B0">
      <w:pPr>
        <w:pStyle w:val="a4"/>
        <w:ind w:left="681" w:hanging="681"/>
      </w:pPr>
      <w:r w:rsidRPr="00AC5A58">
        <w:rPr>
          <w:rFonts w:hint="eastAsia"/>
        </w:rPr>
        <w:t>（２）代表者の氏名</w:t>
      </w:r>
    </w:p>
    <w:p w:rsidR="0015770A" w:rsidRPr="00AC5A58" w:rsidRDefault="0015770A" w:rsidP="000B66B0">
      <w:pPr>
        <w:pStyle w:val="a4"/>
        <w:ind w:left="681" w:hanging="681"/>
      </w:pPr>
      <w:r w:rsidRPr="00AC5A58">
        <w:rPr>
          <w:rFonts w:hint="eastAsia"/>
        </w:rPr>
        <w:t>（３）代理人によ</w:t>
      </w:r>
      <w:r w:rsidR="006B621B" w:rsidRPr="00AF53EA">
        <w:rPr>
          <w:rFonts w:hAnsi="ＭＳ 明朝" w:hint="eastAsia"/>
          <w:szCs w:val="21"/>
        </w:rPr>
        <w:t>り日銀ネットの利用に関する</w:t>
      </w:r>
      <w:r w:rsidRPr="00AC5A58">
        <w:rPr>
          <w:rFonts w:hint="eastAsia"/>
        </w:rPr>
        <w:t>諸届出等を行う</w:t>
      </w:r>
      <w:r w:rsidR="006B621B">
        <w:rPr>
          <w:rFonts w:hint="eastAsia"/>
        </w:rPr>
        <w:t>場合に</w:t>
      </w:r>
      <w:r w:rsidRPr="00AC5A58">
        <w:rPr>
          <w:rFonts w:hint="eastAsia"/>
        </w:rPr>
        <w:t>は</w:t>
      </w:r>
      <w:r w:rsidR="006B621B">
        <w:rPr>
          <w:rFonts w:hint="eastAsia"/>
        </w:rPr>
        <w:t>、</w:t>
      </w:r>
      <w:r w:rsidRPr="00AC5A58">
        <w:rPr>
          <w:rFonts w:hint="eastAsia"/>
        </w:rPr>
        <w:t>その氏名</w:t>
      </w:r>
    </w:p>
    <w:p w:rsidR="0015770A" w:rsidRPr="00AC5A58" w:rsidRDefault="0015770A" w:rsidP="000B66B0">
      <w:pPr>
        <w:pStyle w:val="a4"/>
        <w:ind w:left="681" w:hanging="681"/>
      </w:pPr>
      <w:r w:rsidRPr="00AC5A58">
        <w:rPr>
          <w:rFonts w:hint="eastAsia"/>
        </w:rPr>
        <w:t>（４）日銀ネットの利用に関する諸届出等に使用する印鑑</w:t>
      </w:r>
      <w:r w:rsidR="006B621B">
        <w:rPr>
          <w:rFonts w:hint="eastAsia"/>
        </w:rPr>
        <w:t>また</w:t>
      </w:r>
      <w:r w:rsidRPr="00AC5A58">
        <w:rPr>
          <w:rFonts w:hint="eastAsia"/>
        </w:rPr>
        <w:t>は署名鑑</w:t>
      </w:r>
    </w:p>
    <w:p w:rsidR="0015770A" w:rsidRPr="00AC5A58" w:rsidRDefault="0015770A" w:rsidP="000B66B0">
      <w:pPr>
        <w:pStyle w:val="a4"/>
        <w:ind w:left="681" w:hanging="681"/>
      </w:pPr>
      <w:r w:rsidRPr="00AC5A58">
        <w:rPr>
          <w:rFonts w:hint="eastAsia"/>
        </w:rPr>
        <w:t>（５）利用先の名称および所在地</w:t>
      </w:r>
    </w:p>
    <w:p w:rsidR="0015770A" w:rsidRPr="00AC5A58" w:rsidRDefault="0015770A" w:rsidP="000B66B0">
      <w:pPr>
        <w:pStyle w:val="a4"/>
        <w:ind w:left="681" w:hanging="681"/>
      </w:pPr>
      <w:r w:rsidRPr="00AC5A58">
        <w:rPr>
          <w:rFonts w:hint="eastAsia"/>
        </w:rPr>
        <w:t>（６）その他日本銀行が定める事項</w:t>
      </w:r>
    </w:p>
    <w:p w:rsidR="0015770A" w:rsidRPr="00AC5A58" w:rsidRDefault="0015770A">
      <w:pPr>
        <w:pStyle w:val="a4"/>
        <w:ind w:left="227" w:hanging="227"/>
      </w:pPr>
      <w:r w:rsidRPr="00AC5A58">
        <w:rPr>
          <w:rFonts w:hint="eastAsia"/>
        </w:rPr>
        <w:t>２．利用金融機関等は、前項各号に掲げる事項に変更があった場合には、日本銀行に書面によりその旨</w:t>
      </w:r>
      <w:r w:rsidR="006B621B">
        <w:rPr>
          <w:rFonts w:hint="eastAsia"/>
        </w:rPr>
        <w:t>を</w:t>
      </w:r>
      <w:r w:rsidRPr="00AC5A58">
        <w:rPr>
          <w:rFonts w:hint="eastAsia"/>
        </w:rPr>
        <w:t>届出るものとする。</w:t>
      </w:r>
    </w:p>
    <w:p w:rsidR="0015770A" w:rsidRPr="00AC5A58" w:rsidRDefault="0015770A">
      <w:pPr>
        <w:pStyle w:val="a4"/>
        <w:ind w:left="227" w:hanging="227"/>
      </w:pPr>
      <w:r w:rsidRPr="00AC5A58">
        <w:rPr>
          <w:rFonts w:hint="eastAsia"/>
        </w:rPr>
        <w:t>３．前２項の規定により現に届出られている事項が事実と異なるために、日本銀行からの書類等が延着し、または到達しなかった場合には、当該書類等は通常到達すべき時に到達したものとみなす。</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（日銀ネット利用手数料の支払義務等）</w:t>
      </w:r>
    </w:p>
    <w:p w:rsidR="0015770A" w:rsidRPr="00AC5A58" w:rsidRDefault="0015770A">
      <w:pPr>
        <w:pStyle w:val="a4"/>
        <w:ind w:left="227" w:hanging="227"/>
      </w:pPr>
      <w:r w:rsidRPr="00AC5A58">
        <w:rPr>
          <w:rFonts w:hint="eastAsia"/>
        </w:rPr>
        <w:t>第４条　利用金融機関等は、国債関係事務についての日銀ネットの利用に関して日本銀行が別に定める手数料を日本銀行に支払うものとする。</w:t>
      </w:r>
    </w:p>
    <w:p w:rsidR="0015770A" w:rsidRDefault="0015770A">
      <w:pPr>
        <w:pStyle w:val="a4"/>
        <w:ind w:left="227" w:hanging="227"/>
      </w:pPr>
      <w:r w:rsidRPr="00AC5A58">
        <w:rPr>
          <w:rFonts w:hint="eastAsia"/>
        </w:rPr>
        <w:t>２．利用金融機関等は、前項の手数料その他の国債関係事務についての日銀ネットの利用に関して日本銀行に支払うべき手数料、料金を日本銀行が別に定める方法により支払うものとする。</w:t>
      </w:r>
    </w:p>
    <w:p w:rsidR="000B66B0" w:rsidRPr="00AC5A58" w:rsidRDefault="000B66B0">
      <w:pPr>
        <w:pStyle w:val="a4"/>
        <w:ind w:left="227" w:hanging="227"/>
      </w:pPr>
    </w:p>
    <w:p w:rsidR="0015770A" w:rsidRPr="00AC5A58" w:rsidRDefault="0015770A">
      <w:pPr>
        <w:pStyle w:val="a4"/>
        <w:ind w:left="227" w:hanging="227"/>
      </w:pPr>
      <w:r w:rsidRPr="00AC5A58">
        <w:rPr>
          <w:rFonts w:hint="eastAsia"/>
        </w:rPr>
        <w:t>（入札応募電文）</w:t>
      </w:r>
    </w:p>
    <w:p w:rsidR="0015770A" w:rsidRPr="00AC5A58" w:rsidRDefault="0015770A">
      <w:pPr>
        <w:pStyle w:val="a4"/>
        <w:ind w:left="227" w:hanging="227"/>
      </w:pPr>
      <w:r w:rsidRPr="00AC5A58">
        <w:rPr>
          <w:rFonts w:hint="eastAsia"/>
        </w:rPr>
        <w:lastRenderedPageBreak/>
        <w:t>第５条　「国債の発行等に関する省令」（以下「発行省令」という。）第５条第１項または</w:t>
      </w:r>
      <w:r w:rsidRPr="00AC5A58">
        <w:rPr>
          <w:rFonts w:hint="eastAsia"/>
          <w:szCs w:val="21"/>
        </w:rPr>
        <w:t>「政府資金調達事務取扱規則」</w:t>
      </w:r>
      <w:r w:rsidR="003D7DBD" w:rsidRPr="00AC5A58">
        <w:rPr>
          <w:rFonts w:hint="eastAsia"/>
          <w:szCs w:val="21"/>
        </w:rPr>
        <w:t>（以下「政府資金調達規則」という。）第５条第１項に規定する入札参加者である利用金融機関等は、日銀ネットを利用して、発行省令第５条第５項または政府資金調達規則第５条第５項に規定する入札に応募するための電文を日本銀行が別に定めるところにより</w:t>
      </w:r>
      <w:r w:rsidR="006B621B">
        <w:rPr>
          <w:rFonts w:hint="eastAsia"/>
          <w:szCs w:val="21"/>
        </w:rPr>
        <w:t>送信</w:t>
      </w:r>
      <w:r w:rsidR="003D7DBD" w:rsidRPr="00AC5A58">
        <w:rPr>
          <w:rFonts w:hint="eastAsia"/>
          <w:szCs w:val="21"/>
        </w:rPr>
        <w:t>することができる</w:t>
      </w:r>
      <w:r w:rsidRPr="00AC5A58">
        <w:rPr>
          <w:rFonts w:hint="eastAsia"/>
        </w:rPr>
        <w:t>。</w:t>
      </w:r>
    </w:p>
    <w:p w:rsidR="0004682A" w:rsidRPr="00AC5A58" w:rsidRDefault="0004682A" w:rsidP="0004682A">
      <w:pPr>
        <w:pStyle w:val="a4"/>
        <w:spacing w:line="400" w:lineRule="exact"/>
        <w:ind w:left="227" w:hanging="227"/>
        <w:rPr>
          <w:sz w:val="24"/>
          <w:szCs w:val="24"/>
        </w:rPr>
      </w:pPr>
    </w:p>
    <w:p w:rsidR="0004682A" w:rsidRPr="00AC5A58" w:rsidRDefault="0004682A" w:rsidP="0004682A">
      <w:pPr>
        <w:pStyle w:val="a4"/>
        <w:ind w:left="227" w:hanging="227"/>
      </w:pPr>
      <w:r w:rsidRPr="00AC5A58">
        <w:rPr>
          <w:rFonts w:hint="eastAsia"/>
        </w:rPr>
        <w:t>（応募金額報告電文）</w:t>
      </w:r>
    </w:p>
    <w:p w:rsidR="0004682A" w:rsidRPr="00AC5A58" w:rsidRDefault="0004682A" w:rsidP="0004682A">
      <w:pPr>
        <w:pStyle w:val="a4"/>
        <w:spacing w:line="400" w:lineRule="exact"/>
        <w:ind w:left="238" w:hanging="238"/>
        <w:rPr>
          <w:sz w:val="24"/>
          <w:szCs w:val="24"/>
        </w:rPr>
      </w:pPr>
      <w:r w:rsidRPr="00AC5A58">
        <w:rPr>
          <w:rFonts w:hint="eastAsia"/>
        </w:rPr>
        <w:t>第</w:t>
      </w:r>
      <w:r w:rsidR="006B621B">
        <w:rPr>
          <w:rFonts w:hint="eastAsia"/>
        </w:rPr>
        <w:t>６</w:t>
      </w:r>
      <w:r w:rsidRPr="00AC5A58">
        <w:rPr>
          <w:rFonts w:hint="eastAsia"/>
        </w:rPr>
        <w:t>条　発行省令第６条第１項に規定する募集取扱機関その他日本銀行が認めた</w:t>
      </w:r>
      <w:r w:rsidR="006B621B">
        <w:rPr>
          <w:rFonts w:hint="eastAsia"/>
        </w:rPr>
        <w:t>者である</w:t>
      </w:r>
      <w:r w:rsidRPr="00AC5A58">
        <w:rPr>
          <w:rFonts w:hint="eastAsia"/>
        </w:rPr>
        <w:t>利用金融機関等は、日銀ネットを利用して、発行省令第６条第６項に規定する募集の取扱いにおいて応募を受付けた金額にかかる報告の電文を日本銀行が別に定めるところにより</w:t>
      </w:r>
      <w:r w:rsidR="006B621B">
        <w:rPr>
          <w:rFonts w:hint="eastAsia"/>
        </w:rPr>
        <w:t>送信</w:t>
      </w:r>
      <w:r w:rsidRPr="00AC5A58">
        <w:rPr>
          <w:rFonts w:hint="eastAsia"/>
        </w:rPr>
        <w:t>することができる。</w:t>
      </w:r>
    </w:p>
    <w:p w:rsidR="0004682A" w:rsidRPr="00AC5A58" w:rsidRDefault="0004682A" w:rsidP="0004682A">
      <w:pPr>
        <w:pStyle w:val="a4"/>
        <w:ind w:left="227" w:hanging="227"/>
      </w:pPr>
      <w:r w:rsidRPr="00AC5A58">
        <w:rPr>
          <w:rFonts w:hint="eastAsia"/>
        </w:rPr>
        <w:t>２．「個人向け国債の発行等に関する省令」（以下「個人国債発行省令」という。）第４条第１項に規定する取扱機関その他日本銀行が認めた</w:t>
      </w:r>
      <w:r w:rsidR="006B621B">
        <w:rPr>
          <w:rFonts w:hint="eastAsia"/>
        </w:rPr>
        <w:t>者である</w:t>
      </w:r>
      <w:r w:rsidRPr="00AC5A58">
        <w:rPr>
          <w:rFonts w:hint="eastAsia"/>
        </w:rPr>
        <w:t>利用金融機関等は、日銀ネットを利用して、個人国債発行省令第４条第９項に規定する募集の取扱いにおいて応募を受付けた金額にかかる報告の電文を日本銀行が別に定めるところにより</w:t>
      </w:r>
      <w:r w:rsidR="006B621B">
        <w:rPr>
          <w:rFonts w:hint="eastAsia"/>
        </w:rPr>
        <w:t>送信</w:t>
      </w:r>
      <w:r w:rsidRPr="00AC5A58">
        <w:rPr>
          <w:rFonts w:hint="eastAsia"/>
        </w:rPr>
        <w:t>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（新規記録</w:t>
      </w:r>
      <w:r w:rsidR="000C308C">
        <w:rPr>
          <w:rFonts w:hint="eastAsia"/>
        </w:rPr>
        <w:t>事項等通知</w:t>
      </w:r>
      <w:r w:rsidRPr="00AC5A58">
        <w:rPr>
          <w:rFonts w:hint="eastAsia"/>
        </w:rPr>
        <w:t>電文）</w:t>
      </w:r>
    </w:p>
    <w:p w:rsidR="0015770A" w:rsidRPr="00AC5A58" w:rsidRDefault="0015770A">
      <w:pPr>
        <w:pStyle w:val="a4"/>
        <w:ind w:left="227" w:hanging="227"/>
      </w:pPr>
      <w:r w:rsidRPr="00AC5A58">
        <w:rPr>
          <w:rFonts w:hint="eastAsia"/>
        </w:rPr>
        <w:t>第</w:t>
      </w:r>
      <w:r w:rsidR="000C308C">
        <w:rPr>
          <w:rFonts w:hint="eastAsia"/>
        </w:rPr>
        <w:t>７</w:t>
      </w:r>
      <w:r w:rsidRPr="00AC5A58">
        <w:rPr>
          <w:rFonts w:hint="eastAsia"/>
        </w:rPr>
        <w:t xml:space="preserve">条　</w:t>
      </w:r>
      <w:r w:rsidRPr="00AC5A58">
        <w:rPr>
          <w:rFonts w:ascii="Mincho" w:eastAsia="Mincho" w:hint="eastAsia"/>
        </w:rPr>
        <w:t>日本銀行国債振替決済業務規程</w:t>
      </w:r>
      <w:r w:rsidRPr="00AC5A58">
        <w:rPr>
          <w:rFonts w:eastAsia="Mincho" w:hint="eastAsia"/>
        </w:rPr>
        <w:t>（以下「振決規程」という。）に定める</w:t>
      </w:r>
      <w:r w:rsidR="000C308C">
        <w:rPr>
          <w:rFonts w:hint="eastAsia"/>
        </w:rPr>
        <w:t>払込者</w:t>
      </w:r>
      <w:r w:rsidRPr="00AC5A58">
        <w:rPr>
          <w:rFonts w:hint="eastAsia"/>
        </w:rPr>
        <w:t>である</w:t>
      </w:r>
      <w:r w:rsidR="000C308C">
        <w:rPr>
          <w:rFonts w:hint="eastAsia"/>
        </w:rPr>
        <w:t>利用金融機関等</w:t>
      </w:r>
      <w:r w:rsidRPr="00AC5A58">
        <w:rPr>
          <w:rFonts w:hint="eastAsia"/>
        </w:rPr>
        <w:t>は、日銀ネットを利用して、振決規程第２９条第１項に規定する通知の電文を日本銀行が別に定めるところにより</w:t>
      </w:r>
      <w:r w:rsidR="000C308C">
        <w:rPr>
          <w:rFonts w:hint="eastAsia"/>
        </w:rPr>
        <w:t>送信</w:t>
      </w:r>
      <w:r w:rsidRPr="00AC5A58">
        <w:rPr>
          <w:rFonts w:hint="eastAsia"/>
        </w:rPr>
        <w:t>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（振替</w:t>
      </w:r>
      <w:r w:rsidR="000C308C">
        <w:rPr>
          <w:rFonts w:hint="eastAsia"/>
        </w:rPr>
        <w:t>申請等</w:t>
      </w:r>
      <w:r w:rsidRPr="00AC5A58">
        <w:rPr>
          <w:rFonts w:hint="eastAsia"/>
        </w:rPr>
        <w:t>電文）</w:t>
      </w:r>
    </w:p>
    <w:p w:rsidR="0015770A" w:rsidRPr="00AC5A58" w:rsidRDefault="0015770A">
      <w:pPr>
        <w:pStyle w:val="a4"/>
        <w:ind w:left="227" w:hanging="227"/>
      </w:pPr>
      <w:r w:rsidRPr="00AC5A58">
        <w:rPr>
          <w:rFonts w:hint="eastAsia"/>
        </w:rPr>
        <w:t>第</w:t>
      </w:r>
      <w:r w:rsidR="000C308C">
        <w:rPr>
          <w:rFonts w:hint="eastAsia"/>
        </w:rPr>
        <w:t>８</w:t>
      </w:r>
      <w:r w:rsidRPr="00AC5A58">
        <w:rPr>
          <w:rFonts w:hint="eastAsia"/>
        </w:rPr>
        <w:t xml:space="preserve">条　</w:t>
      </w:r>
      <w:r w:rsidR="000C308C" w:rsidRPr="00AF53EA">
        <w:rPr>
          <w:rFonts w:hAnsi="ＭＳ 明朝" w:hint="eastAsia"/>
          <w:szCs w:val="21"/>
        </w:rPr>
        <w:t>振決規程に定める参加者（以下「</w:t>
      </w:r>
      <w:r w:rsidRPr="00AC5A58">
        <w:rPr>
          <w:rFonts w:hint="eastAsia"/>
        </w:rPr>
        <w:t>振決参加者</w:t>
      </w:r>
      <w:r w:rsidR="000C308C">
        <w:rPr>
          <w:rFonts w:hint="eastAsia"/>
        </w:rPr>
        <w:t>」という。）</w:t>
      </w:r>
      <w:r w:rsidRPr="00AC5A58">
        <w:rPr>
          <w:rFonts w:hint="eastAsia"/>
        </w:rPr>
        <w:t>である利用金融機関等は、日銀ネットを利用して、振決規程に定める日本銀行に対する振替の申請または振替にかかる通知の電文を日本銀行が別に定めるところにより</w:t>
      </w:r>
      <w:r w:rsidR="000C308C">
        <w:rPr>
          <w:rFonts w:hint="eastAsia"/>
        </w:rPr>
        <w:t>送信</w:t>
      </w:r>
      <w:r w:rsidRPr="00AC5A58">
        <w:rPr>
          <w:rFonts w:hint="eastAsia"/>
        </w:rPr>
        <w:t>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（元利分離</w:t>
      </w:r>
      <w:r w:rsidR="000C308C">
        <w:rPr>
          <w:rFonts w:hint="eastAsia"/>
        </w:rPr>
        <w:t>申請等</w:t>
      </w:r>
      <w:r w:rsidRPr="00AC5A58">
        <w:rPr>
          <w:rFonts w:hint="eastAsia"/>
        </w:rPr>
        <w:t>電文）</w:t>
      </w:r>
    </w:p>
    <w:p w:rsidR="0015770A" w:rsidRPr="00AC5A58" w:rsidRDefault="0015770A">
      <w:pPr>
        <w:pStyle w:val="a4"/>
        <w:ind w:left="227" w:hanging="227"/>
      </w:pPr>
      <w:r w:rsidRPr="00AC5A58">
        <w:rPr>
          <w:rFonts w:hint="eastAsia"/>
        </w:rPr>
        <w:t>第</w:t>
      </w:r>
      <w:r w:rsidR="000C308C">
        <w:rPr>
          <w:rFonts w:hint="eastAsia"/>
        </w:rPr>
        <w:t>９</w:t>
      </w:r>
      <w:r w:rsidRPr="00AC5A58">
        <w:rPr>
          <w:rFonts w:hint="eastAsia"/>
        </w:rPr>
        <w:t>条　振決参加者である利用金融機関等は、日銀ネットを利用して、振決規程に定める日本銀行に対する</w:t>
      </w:r>
      <w:r w:rsidRPr="00AC5A58">
        <w:rPr>
          <w:rFonts w:ascii="Mincho" w:hint="eastAsia"/>
        </w:rPr>
        <w:t>元利分離の申請または元利分離にかかる通知の</w:t>
      </w:r>
      <w:r w:rsidRPr="00AC5A58">
        <w:rPr>
          <w:rFonts w:hint="eastAsia"/>
        </w:rPr>
        <w:t>電文を日本銀行が別に定めるところにより</w:t>
      </w:r>
      <w:r w:rsidR="000C308C">
        <w:rPr>
          <w:rFonts w:hint="eastAsia"/>
        </w:rPr>
        <w:t>送信</w:t>
      </w:r>
      <w:r w:rsidRPr="00AC5A58">
        <w:rPr>
          <w:rFonts w:hint="eastAsia"/>
        </w:rPr>
        <w:t>することができる。</w:t>
      </w:r>
    </w:p>
    <w:p w:rsidR="0015770A" w:rsidRPr="00AC5A58" w:rsidRDefault="0015770A">
      <w:pPr>
        <w:pStyle w:val="a4"/>
      </w:pPr>
    </w:p>
    <w:p w:rsidR="0015770A" w:rsidRPr="00AC5A58" w:rsidRDefault="0015770A">
      <w:pPr>
        <w:pStyle w:val="a4"/>
        <w:ind w:left="227" w:hanging="227"/>
      </w:pPr>
      <w:r w:rsidRPr="00AC5A58">
        <w:rPr>
          <w:rFonts w:hint="eastAsia"/>
        </w:rPr>
        <w:t>（元利統合</w:t>
      </w:r>
      <w:r w:rsidR="000B66B0">
        <w:rPr>
          <w:rFonts w:hint="eastAsia"/>
        </w:rPr>
        <w:t>申請等</w:t>
      </w:r>
      <w:r w:rsidRPr="00AC5A58">
        <w:rPr>
          <w:rFonts w:hint="eastAsia"/>
        </w:rPr>
        <w:t>電文）</w:t>
      </w:r>
    </w:p>
    <w:p w:rsidR="0015770A" w:rsidRPr="00AC5A58" w:rsidRDefault="0015770A">
      <w:pPr>
        <w:pStyle w:val="a4"/>
        <w:ind w:left="227" w:hanging="227"/>
      </w:pPr>
      <w:r w:rsidRPr="00AC5A58">
        <w:rPr>
          <w:rFonts w:hint="eastAsia"/>
        </w:rPr>
        <w:t>第</w:t>
      </w:r>
      <w:r w:rsidR="000C308C">
        <w:rPr>
          <w:rFonts w:hint="eastAsia"/>
        </w:rPr>
        <w:t>１０</w:t>
      </w:r>
      <w:r w:rsidRPr="00AC5A58">
        <w:rPr>
          <w:rFonts w:hint="eastAsia"/>
        </w:rPr>
        <w:t>条　振決参加者である利用金融機関等は、日銀ネットを利用して、振決規程に定める日本銀行に対する</w:t>
      </w:r>
      <w:r w:rsidRPr="00AC5A58">
        <w:rPr>
          <w:rFonts w:ascii="Mincho" w:hint="eastAsia"/>
        </w:rPr>
        <w:t>元利統合の申請または元利統合にかかる通知の</w:t>
      </w:r>
      <w:r w:rsidRPr="00AC5A58">
        <w:rPr>
          <w:rFonts w:hint="eastAsia"/>
        </w:rPr>
        <w:t>電文を日本銀行が別に定めるところにより</w:t>
      </w:r>
      <w:r w:rsidR="000C308C">
        <w:rPr>
          <w:rFonts w:hint="eastAsia"/>
        </w:rPr>
        <w:t>送信</w:t>
      </w:r>
      <w:r w:rsidRPr="00AC5A58">
        <w:rPr>
          <w:rFonts w:hint="eastAsia"/>
        </w:rPr>
        <w:t>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（個人向け国債中途換金</w:t>
      </w:r>
      <w:r w:rsidR="000C308C">
        <w:rPr>
          <w:rFonts w:hint="eastAsia"/>
        </w:rPr>
        <w:t>買取り</w:t>
      </w:r>
      <w:r w:rsidRPr="00AC5A58">
        <w:rPr>
          <w:rFonts w:hint="eastAsia"/>
        </w:rPr>
        <w:t>請求電文）</w:t>
      </w:r>
    </w:p>
    <w:p w:rsidR="0015770A" w:rsidRPr="00AC5A58" w:rsidRDefault="0015770A">
      <w:pPr>
        <w:pStyle w:val="a4"/>
        <w:ind w:left="227" w:hanging="227"/>
      </w:pPr>
      <w:r w:rsidRPr="00AC5A58">
        <w:rPr>
          <w:rFonts w:hint="eastAsia"/>
        </w:rPr>
        <w:lastRenderedPageBreak/>
        <w:t>第</w:t>
      </w:r>
      <w:r w:rsidR="000C308C">
        <w:rPr>
          <w:rFonts w:hint="eastAsia"/>
        </w:rPr>
        <w:t>１１</w:t>
      </w:r>
      <w:r w:rsidRPr="00AC5A58">
        <w:rPr>
          <w:rFonts w:hint="eastAsia"/>
        </w:rPr>
        <w:t>条　個人国債発行省令第４条第１項に規定する取扱機関その他日本銀行が認めた</w:t>
      </w:r>
      <w:r w:rsidR="000C308C">
        <w:rPr>
          <w:rFonts w:hint="eastAsia"/>
        </w:rPr>
        <w:t>者である</w:t>
      </w:r>
      <w:r w:rsidRPr="00AC5A58">
        <w:rPr>
          <w:rFonts w:hint="eastAsia"/>
        </w:rPr>
        <w:t>利用金融機関等</w:t>
      </w:r>
      <w:r w:rsidR="000C308C" w:rsidRPr="00AF53EA">
        <w:rPr>
          <w:rFonts w:hint="eastAsia"/>
        </w:rPr>
        <w:t>（振決参加者のうち、日本銀行との間で国債資金同時受渡に関する約定を結んだ者に限る。）</w:t>
      </w:r>
      <w:r w:rsidRPr="00AC5A58">
        <w:rPr>
          <w:rFonts w:hint="eastAsia"/>
        </w:rPr>
        <w:t>は、日銀ネットを利用して、個人国債発行省令第６条第３項の規定による個人向け国債の中途換金にかかる</w:t>
      </w:r>
      <w:r w:rsidR="000C308C">
        <w:rPr>
          <w:rFonts w:hint="eastAsia"/>
        </w:rPr>
        <w:t>買取りの</w:t>
      </w:r>
      <w:r w:rsidRPr="00AC5A58">
        <w:rPr>
          <w:rFonts w:hint="eastAsia"/>
        </w:rPr>
        <w:t>請求に関する電文を日本銀行が別に定めるところにより</w:t>
      </w:r>
      <w:r w:rsidR="000B66B0">
        <w:rPr>
          <w:rFonts w:hint="eastAsia"/>
        </w:rPr>
        <w:t>送信</w:t>
      </w:r>
      <w:r w:rsidRPr="00AC5A58">
        <w:rPr>
          <w:rFonts w:hint="eastAsia"/>
        </w:rPr>
        <w:t>することができる。</w:t>
      </w:r>
    </w:p>
    <w:p w:rsidR="0015770A" w:rsidRPr="00AC5A58" w:rsidRDefault="0015770A">
      <w:pPr>
        <w:pStyle w:val="a4"/>
        <w:ind w:left="227" w:hanging="227"/>
      </w:pPr>
    </w:p>
    <w:p w:rsidR="00416331" w:rsidRPr="00AF53EA" w:rsidRDefault="00416331" w:rsidP="00416331">
      <w:pPr>
        <w:pStyle w:val="a4"/>
        <w:spacing w:line="440" w:lineRule="atLeast"/>
        <w:ind w:left="227" w:hanging="227"/>
        <w:rPr>
          <w:rFonts w:hAnsi="ＭＳ 明朝"/>
          <w:szCs w:val="21"/>
        </w:rPr>
      </w:pPr>
      <w:r w:rsidRPr="00AF53EA">
        <w:rPr>
          <w:rFonts w:hAnsi="ＭＳ 明朝" w:hint="eastAsia"/>
          <w:szCs w:val="21"/>
        </w:rPr>
        <w:t>（利子配分先変更依頼電文）</w:t>
      </w:r>
    </w:p>
    <w:p w:rsidR="00416331" w:rsidRDefault="00416331" w:rsidP="00AF53EA">
      <w:pPr>
        <w:pStyle w:val="a4"/>
        <w:ind w:left="245" w:hangingChars="108" w:hanging="245"/>
        <w:rPr>
          <w:rFonts w:hAnsi="ＭＳ 明朝"/>
          <w:szCs w:val="21"/>
        </w:rPr>
      </w:pPr>
      <w:r w:rsidRPr="00AF53EA">
        <w:rPr>
          <w:rFonts w:hAnsi="ＭＳ 明朝" w:hint="eastAsia"/>
          <w:szCs w:val="21"/>
        </w:rPr>
        <w:t>第１２条　振決参加者である利用金融機関等は、日銀ネットを利用して、国債振替決済制度に関する規則に定める利子配分先変更の依頼の電文を日本銀行が別に定めるところにより送信することができる。</w:t>
      </w:r>
    </w:p>
    <w:p w:rsidR="007F655C" w:rsidRPr="00AF53EA" w:rsidRDefault="007F655C" w:rsidP="00416331">
      <w:pPr>
        <w:pStyle w:val="a4"/>
        <w:spacing w:line="440" w:lineRule="atLeast"/>
        <w:ind w:left="227" w:hanging="227"/>
        <w:rPr>
          <w:rFonts w:hAnsi="ＭＳ 明朝"/>
          <w:szCs w:val="21"/>
        </w:rPr>
      </w:pPr>
    </w:p>
    <w:p w:rsidR="0015770A" w:rsidRPr="00AC5A58" w:rsidRDefault="0015770A">
      <w:pPr>
        <w:pStyle w:val="a4"/>
        <w:ind w:left="227" w:hanging="227"/>
      </w:pPr>
      <w:r w:rsidRPr="00AC5A58">
        <w:rPr>
          <w:rFonts w:hint="eastAsia"/>
        </w:rPr>
        <w:t>（照会）</w:t>
      </w:r>
    </w:p>
    <w:p w:rsidR="0015770A" w:rsidRPr="00AC5A58" w:rsidRDefault="0015770A">
      <w:pPr>
        <w:pStyle w:val="a4"/>
        <w:ind w:left="227" w:hanging="227"/>
      </w:pPr>
      <w:r w:rsidRPr="00AC5A58">
        <w:rPr>
          <w:rFonts w:hint="eastAsia"/>
        </w:rPr>
        <w:t>第１３条　利用金融機関等は、国債関係事務にかかる事項で日本銀行が別に定めるものについて、日銀ネットを利用して照会することができる。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（日銀ネットによる通知）</w:t>
      </w:r>
    </w:p>
    <w:p w:rsidR="0015770A" w:rsidRPr="00AC5A58" w:rsidRDefault="0015770A">
      <w:pPr>
        <w:pStyle w:val="a4"/>
        <w:ind w:left="227" w:hanging="227"/>
      </w:pPr>
      <w:r w:rsidRPr="00AC5A58">
        <w:rPr>
          <w:rFonts w:hint="eastAsia"/>
        </w:rPr>
        <w:t>第１４条　日本銀行は、</w:t>
      </w:r>
      <w:r w:rsidR="00A85FC4" w:rsidRPr="00AF53EA">
        <w:rPr>
          <w:rFonts w:hAnsi="ＭＳ 明朝" w:hint="eastAsia"/>
          <w:szCs w:val="21"/>
        </w:rPr>
        <w:t>国債関係事務にかかる事項で日本銀行が別に定めるものについて、</w:t>
      </w:r>
      <w:r w:rsidRPr="00AC5A58">
        <w:rPr>
          <w:rFonts w:hint="eastAsia"/>
        </w:rPr>
        <w:t>日銀ネットを利用して利用金融機関等に</w:t>
      </w:r>
      <w:r w:rsidR="00A85FC4">
        <w:rPr>
          <w:rFonts w:hint="eastAsia"/>
        </w:rPr>
        <w:t>通知</w:t>
      </w:r>
      <w:r w:rsidRPr="00AC5A58">
        <w:rPr>
          <w:rFonts w:hint="eastAsia"/>
        </w:rPr>
        <w:t>する。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（免責）</w:t>
      </w:r>
    </w:p>
    <w:p w:rsidR="0015770A" w:rsidRPr="00AC5A58" w:rsidRDefault="0015770A">
      <w:pPr>
        <w:pStyle w:val="a4"/>
        <w:ind w:left="227" w:hanging="227"/>
      </w:pPr>
      <w:r w:rsidRPr="00AC5A58">
        <w:rPr>
          <w:rFonts w:hint="eastAsia"/>
        </w:rPr>
        <w:t>第１５条　日本銀行が相当の注意をもってその受付けた書類の印影または署名を第３条の規定により利用金融機関等が届出た印鑑または署名鑑と相違ないものとして認めた場合には、その届出にかかる利用金融機関等が当該書類により届出または申出を行ったものとみなす。</w:t>
      </w:r>
    </w:p>
    <w:p w:rsidR="0015770A" w:rsidRPr="00AC5A58" w:rsidRDefault="0015770A">
      <w:pPr>
        <w:pStyle w:val="a4"/>
        <w:ind w:left="227" w:hanging="227"/>
      </w:pPr>
      <w:r w:rsidRPr="00AC5A58">
        <w:rPr>
          <w:rFonts w:hint="eastAsia"/>
        </w:rPr>
        <w:t>２．前項の場合において、日本銀行は</w:t>
      </w:r>
      <w:r w:rsidR="00A85FC4">
        <w:rPr>
          <w:rFonts w:hint="eastAsia"/>
        </w:rPr>
        <w:t>、</w:t>
      </w:r>
      <w:r w:rsidRPr="00AC5A58">
        <w:rPr>
          <w:rFonts w:hint="eastAsia"/>
        </w:rPr>
        <w:t>当該書類について偽造、変造その他の事故があったために生じた損害については、責任を負わない。</w:t>
      </w:r>
    </w:p>
    <w:p w:rsidR="0015770A" w:rsidRPr="00AC5A58" w:rsidRDefault="0015770A">
      <w:pPr>
        <w:pStyle w:val="a4"/>
        <w:ind w:left="227" w:hanging="227"/>
      </w:pPr>
      <w:r w:rsidRPr="00AC5A58">
        <w:rPr>
          <w:rFonts w:hint="eastAsia"/>
        </w:rPr>
        <w:t>３．日本銀行は、利用金融機関等がこの規則または</w:t>
      </w:r>
      <w:r w:rsidR="00A85FC4">
        <w:rPr>
          <w:rFonts w:hint="eastAsia"/>
        </w:rPr>
        <w:t>次</w:t>
      </w:r>
      <w:r w:rsidRPr="00AC5A58">
        <w:rPr>
          <w:rFonts w:hint="eastAsia"/>
        </w:rPr>
        <w:t>条の規定により日本銀行が指示した事項もしくは第１７条の規定により日本銀行が定めた事項に違反したために生じた損害については、責任を負わない。</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（日銀ネット障害時等の取扱い）</w:t>
      </w:r>
    </w:p>
    <w:p w:rsidR="0015770A" w:rsidRPr="00AC5A58" w:rsidRDefault="0015770A">
      <w:pPr>
        <w:pStyle w:val="a4"/>
        <w:ind w:left="227" w:hanging="227"/>
      </w:pPr>
      <w:r w:rsidRPr="00AC5A58">
        <w:rPr>
          <w:rFonts w:hint="eastAsia"/>
        </w:rPr>
        <w:t>第１６条　日本銀行は、日銀ネットの障害等によりこの規則の規定による取扱いができないと認めた場合には、この規則の規定と異なる取扱いをし、または利用金融機関等にこの規則の規定と異なる取扱いを指示す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（所要事項の決定等）</w:t>
      </w:r>
    </w:p>
    <w:p w:rsidR="0015770A" w:rsidRPr="00AC5A58" w:rsidRDefault="0015770A">
      <w:pPr>
        <w:pStyle w:val="a4"/>
        <w:ind w:left="227" w:hanging="227"/>
      </w:pPr>
      <w:r w:rsidRPr="00AC5A58">
        <w:rPr>
          <w:rFonts w:hint="eastAsia"/>
        </w:rPr>
        <w:t>第１７条　日本銀行は、国債関係事務についての日銀ネットの適切な利用を確保するため、この規則に定めるもののほか、所要の事項を定め、または所要の措置を講ずることができる。</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（解約等）</w:t>
      </w:r>
    </w:p>
    <w:p w:rsidR="0015770A" w:rsidRPr="00AC5A58" w:rsidRDefault="0015770A">
      <w:pPr>
        <w:pStyle w:val="a4"/>
        <w:ind w:left="227" w:hanging="227"/>
      </w:pPr>
      <w:r w:rsidRPr="00AC5A58">
        <w:rPr>
          <w:rFonts w:hint="eastAsia"/>
        </w:rPr>
        <w:t>第１８条　利用金融機関等または日本銀行は、２か月の予告期間をもって日銀ネットの利用に関する約定を解約することができる。利用金融機関等による当該解約のための意思表示は、書面により行うものとする。</w:t>
      </w:r>
    </w:p>
    <w:p w:rsidR="0015770A" w:rsidRPr="00AC5A58" w:rsidRDefault="0015770A">
      <w:pPr>
        <w:pStyle w:val="a4"/>
        <w:ind w:left="227" w:hanging="227"/>
      </w:pPr>
      <w:r w:rsidRPr="00AC5A58">
        <w:rPr>
          <w:rFonts w:hint="eastAsia"/>
        </w:rPr>
        <w:t>２．日本銀行は、次の各号の一に該当する場合には、直ちに当該利用金融機関等との約定の一部</w:t>
      </w:r>
      <w:r w:rsidR="00A85FC4">
        <w:rPr>
          <w:rFonts w:hint="eastAsia"/>
        </w:rPr>
        <w:t>もしく</w:t>
      </w:r>
      <w:r w:rsidRPr="00AC5A58">
        <w:rPr>
          <w:rFonts w:hint="eastAsia"/>
        </w:rPr>
        <w:t>は全部を解約し、または当該利用金融機関等による日銀ネットの利用の一部</w:t>
      </w:r>
      <w:r w:rsidR="00A85FC4">
        <w:rPr>
          <w:rFonts w:hint="eastAsia"/>
        </w:rPr>
        <w:t>もしく</w:t>
      </w:r>
      <w:r w:rsidRPr="00AC5A58">
        <w:rPr>
          <w:rFonts w:hint="eastAsia"/>
        </w:rPr>
        <w:t>は全部を一定期間制限することができる。</w:t>
      </w:r>
    </w:p>
    <w:p w:rsidR="0015770A" w:rsidRPr="00AC5A58" w:rsidRDefault="0015770A" w:rsidP="00673858">
      <w:pPr>
        <w:pStyle w:val="a4"/>
        <w:ind w:left="681" w:hanging="681"/>
      </w:pPr>
      <w:r w:rsidRPr="00AC5A58">
        <w:rPr>
          <w:rFonts w:hint="eastAsia"/>
        </w:rPr>
        <w:t>（１）利用金融機関等がこの規則に違反した</w:t>
      </w:r>
      <w:r w:rsidR="00A85FC4">
        <w:rPr>
          <w:rFonts w:hint="eastAsia"/>
        </w:rPr>
        <w:t>場合</w:t>
      </w:r>
    </w:p>
    <w:p w:rsidR="0015770A" w:rsidRPr="00AC5A58" w:rsidRDefault="0015770A" w:rsidP="00673858">
      <w:pPr>
        <w:pStyle w:val="a4"/>
        <w:ind w:left="681" w:hanging="681"/>
      </w:pPr>
      <w:r w:rsidRPr="00AC5A58">
        <w:rPr>
          <w:rFonts w:hint="eastAsia"/>
        </w:rPr>
        <w:t>（２）利用金融機関等が第１６条の規定により日本銀行が指示した事項に違反した</w:t>
      </w:r>
      <w:r w:rsidR="00A85FC4">
        <w:rPr>
          <w:rFonts w:hint="eastAsia"/>
        </w:rPr>
        <w:t>場合</w:t>
      </w:r>
    </w:p>
    <w:p w:rsidR="0015770A" w:rsidRPr="00AC5A58" w:rsidRDefault="0015770A" w:rsidP="00673858">
      <w:pPr>
        <w:pStyle w:val="a4"/>
        <w:ind w:left="681" w:hanging="681"/>
      </w:pPr>
      <w:r w:rsidRPr="00AC5A58">
        <w:rPr>
          <w:rFonts w:hint="eastAsia"/>
        </w:rPr>
        <w:t>（３）利用金融機関等が</w:t>
      </w:r>
      <w:r w:rsidR="00A85FC4">
        <w:rPr>
          <w:rFonts w:hint="eastAsia"/>
        </w:rPr>
        <w:t>前</w:t>
      </w:r>
      <w:r w:rsidRPr="00AC5A58">
        <w:rPr>
          <w:rFonts w:hint="eastAsia"/>
        </w:rPr>
        <w:t>条の規定により日本銀行が定めた事項に違反した</w:t>
      </w:r>
      <w:r w:rsidR="00A85FC4">
        <w:rPr>
          <w:rFonts w:hint="eastAsia"/>
        </w:rPr>
        <w:t>場合</w:t>
      </w:r>
    </w:p>
    <w:p w:rsidR="0015770A" w:rsidRPr="00AC5A58" w:rsidRDefault="0015770A" w:rsidP="00CB30F5">
      <w:pPr>
        <w:pStyle w:val="a4"/>
        <w:ind w:left="426" w:hanging="426"/>
      </w:pPr>
      <w:r w:rsidRPr="00AC5A58">
        <w:rPr>
          <w:rFonts w:hint="eastAsia"/>
        </w:rPr>
        <w:t>（４）振決参加者である利用金融機関等が振決規程第１０条第３項各号に掲げるいずれかに該当する</w:t>
      </w:r>
      <w:r w:rsidR="000B66B0">
        <w:rPr>
          <w:rFonts w:hint="eastAsia"/>
        </w:rPr>
        <w:t>場合</w:t>
      </w:r>
    </w:p>
    <w:p w:rsidR="0015770A" w:rsidRPr="00AC5A58" w:rsidRDefault="0015770A" w:rsidP="00CB30F5">
      <w:pPr>
        <w:pStyle w:val="a4"/>
        <w:ind w:left="426" w:hanging="426"/>
      </w:pPr>
      <w:r w:rsidRPr="00AC5A58">
        <w:rPr>
          <w:rFonts w:hint="eastAsia"/>
        </w:rPr>
        <w:t>（５）利用金融機関等が日本銀行金融ネットワークシステム利用基本規則（以下「利用基本規則」という。）に違反した</w:t>
      </w:r>
      <w:r w:rsidR="00A85FC4">
        <w:rPr>
          <w:rFonts w:hint="eastAsia"/>
        </w:rPr>
        <w:t>場合</w:t>
      </w:r>
    </w:p>
    <w:p w:rsidR="0015770A" w:rsidRPr="00AC5A58" w:rsidRDefault="0015770A" w:rsidP="00CB30F5">
      <w:pPr>
        <w:pStyle w:val="a4"/>
        <w:ind w:left="426" w:hanging="426"/>
      </w:pPr>
      <w:r w:rsidRPr="00AC5A58">
        <w:rPr>
          <w:rFonts w:hint="eastAsia"/>
        </w:rPr>
        <w:t>（６）利用金融機関等が利用基本規則第１０条の規定により日本銀行が指示した事項に違反した</w:t>
      </w:r>
      <w:r w:rsidR="00A85FC4">
        <w:rPr>
          <w:rFonts w:hint="eastAsia"/>
        </w:rPr>
        <w:t>場合</w:t>
      </w:r>
    </w:p>
    <w:p w:rsidR="0015770A" w:rsidRPr="00AC5A58" w:rsidRDefault="0015770A" w:rsidP="00CB30F5">
      <w:pPr>
        <w:pStyle w:val="a4"/>
        <w:ind w:left="426" w:hanging="426"/>
      </w:pPr>
      <w:r w:rsidRPr="00AC5A58">
        <w:rPr>
          <w:rFonts w:hint="eastAsia"/>
        </w:rPr>
        <w:t>（７）利用金融機関等が利用基本規則第１１条の規定により日本銀行が定めた事項に違反した</w:t>
      </w:r>
      <w:r w:rsidR="00A85FC4">
        <w:rPr>
          <w:rFonts w:hint="eastAsia"/>
        </w:rPr>
        <w:t>場合</w:t>
      </w:r>
    </w:p>
    <w:p w:rsidR="0015770A" w:rsidRPr="00AC5A58" w:rsidRDefault="0015770A" w:rsidP="00CB30F5">
      <w:pPr>
        <w:pStyle w:val="a4"/>
        <w:ind w:left="426" w:hanging="426"/>
      </w:pPr>
      <w:r w:rsidRPr="00AC5A58">
        <w:rPr>
          <w:rFonts w:hint="eastAsia"/>
        </w:rPr>
        <w:t>（８）その他国債関係事務についての日銀ネットの円滑な利用を阻害するおそれがあると日本銀行が認めた</w:t>
      </w:r>
      <w:r w:rsidR="00A85FC4">
        <w:rPr>
          <w:rFonts w:hint="eastAsia"/>
        </w:rPr>
        <w:t>場合</w:t>
      </w:r>
    </w:p>
    <w:p w:rsidR="0015770A" w:rsidRPr="00AC5A58" w:rsidRDefault="0015770A">
      <w:pPr>
        <w:pStyle w:val="a4"/>
        <w:ind w:left="227" w:hanging="227"/>
      </w:pPr>
    </w:p>
    <w:p w:rsidR="0015770A" w:rsidRPr="00AC5A58" w:rsidRDefault="0015770A">
      <w:pPr>
        <w:pStyle w:val="a4"/>
        <w:ind w:left="227" w:hanging="227"/>
      </w:pPr>
      <w:r w:rsidRPr="00AC5A58">
        <w:rPr>
          <w:rFonts w:hint="eastAsia"/>
        </w:rPr>
        <w:t>（規則の改正）</w:t>
      </w:r>
    </w:p>
    <w:p w:rsidR="0015770A" w:rsidRDefault="0015770A">
      <w:pPr>
        <w:pStyle w:val="a4"/>
        <w:ind w:left="227" w:hanging="227"/>
      </w:pPr>
      <w:r w:rsidRPr="00AC5A58">
        <w:rPr>
          <w:rFonts w:hint="eastAsia"/>
        </w:rPr>
        <w:t>第１９条　日本銀行は、国債関係事務についての日銀ネットの適切な利用を確保するため、必要</w:t>
      </w:r>
      <w:r w:rsidR="00A85FC4">
        <w:rPr>
          <w:rFonts w:hint="eastAsia"/>
        </w:rPr>
        <w:t>が</w:t>
      </w:r>
      <w:r w:rsidRPr="00AC5A58">
        <w:rPr>
          <w:rFonts w:hint="eastAsia"/>
        </w:rPr>
        <w:t>ある</w:t>
      </w:r>
      <w:r w:rsidR="00A85FC4">
        <w:rPr>
          <w:rFonts w:hint="eastAsia"/>
        </w:rPr>
        <w:t>と認める</w:t>
      </w:r>
      <w:r w:rsidRPr="00AC5A58">
        <w:rPr>
          <w:rFonts w:hint="eastAsia"/>
        </w:rPr>
        <w:t>場合</w:t>
      </w:r>
      <w:r w:rsidR="00A85FC4">
        <w:rPr>
          <w:rFonts w:hint="eastAsia"/>
        </w:rPr>
        <w:t>に</w:t>
      </w:r>
      <w:r w:rsidRPr="00AC5A58">
        <w:rPr>
          <w:rFonts w:hint="eastAsia"/>
        </w:rPr>
        <w:t>は、この規則を改正することができる。</w:t>
      </w:r>
    </w:p>
    <w:p w:rsidR="0015770A" w:rsidRDefault="0015770A">
      <w:pPr>
        <w:pStyle w:val="a4"/>
      </w:pPr>
    </w:p>
    <w:p w:rsidR="0015770A" w:rsidRDefault="0015770A">
      <w:pPr>
        <w:pStyle w:val="a4"/>
        <w:spacing w:line="280" w:lineRule="exact"/>
      </w:pPr>
    </w:p>
    <w:p w:rsidR="0015770A" w:rsidRDefault="0015770A">
      <w:pPr>
        <w:pStyle w:val="a4"/>
      </w:pPr>
    </w:p>
    <w:sectPr w:rsidR="0015770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701" w:left="1418" w:header="851" w:footer="992"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CB" w:rsidRDefault="007D7DCB">
      <w:r>
        <w:separator/>
      </w:r>
    </w:p>
  </w:endnote>
  <w:endnote w:type="continuationSeparator" w:id="0">
    <w:p w:rsidR="007D7DCB" w:rsidRDefault="007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37" w:rsidRDefault="00120E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20E37" w:rsidRDefault="00120E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37" w:rsidRDefault="00120E37" w:rsidP="004E1448">
    <w:pPr>
      <w:pStyle w:val="a6"/>
      <w:tabs>
        <w:tab w:val="clear" w:pos="4252"/>
        <w:tab w:val="clear" w:pos="8504"/>
      </w:tabs>
      <w:jc w:val="center"/>
    </w:pPr>
    <w:r>
      <w:rPr>
        <w:rStyle w:val="a7"/>
      </w:rPr>
      <w:fldChar w:fldCharType="begin"/>
    </w:r>
    <w:r>
      <w:rPr>
        <w:rStyle w:val="a7"/>
      </w:rPr>
      <w:instrText xml:space="preserve"> PAGE </w:instrText>
    </w:r>
    <w:r>
      <w:rPr>
        <w:rStyle w:val="a7"/>
      </w:rPr>
      <w:fldChar w:fldCharType="separate"/>
    </w:r>
    <w:r w:rsidR="001D2537">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37" w:rsidRDefault="001D25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CB" w:rsidRDefault="007D7DCB">
      <w:r>
        <w:separator/>
      </w:r>
    </w:p>
  </w:footnote>
  <w:footnote w:type="continuationSeparator" w:id="0">
    <w:p w:rsidR="007D7DCB" w:rsidRDefault="007D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37" w:rsidRDefault="001D253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37" w:rsidRDefault="001D253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37" w:rsidRDefault="001D253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31F"/>
    <w:multiLevelType w:val="multilevel"/>
    <w:tmpl w:val="1E805A14"/>
    <w:lvl w:ilvl="0">
      <w:start w:val="1"/>
      <w:numFmt w:val="none"/>
      <w:pStyle w:val="1"/>
      <w:suff w:val="nothing"/>
      <w:lvlText w:val=""/>
      <w:lvlJc w:val="left"/>
      <w:pPr>
        <w:ind w:left="425" w:hanging="425"/>
      </w:pPr>
      <w:rPr>
        <w:rFonts w:ascii="ＭＳ 明朝" w:eastAsia="ＭＳ 明朝" w:hint="eastAsia"/>
        <w:b w:val="0"/>
        <w:i w:val="0"/>
        <w:caps w:val="0"/>
        <w:strike w:val="0"/>
        <w:dstrike w:val="0"/>
        <w:outline w:val="0"/>
        <w:shadow w:val="0"/>
        <w:emboss w:val="0"/>
        <w:imprint w:val="0"/>
        <w:vanish w:val="0"/>
        <w:sz w:val="24"/>
        <w:u w:val="none"/>
        <w:vertAlign w:val="baseline"/>
      </w:rPr>
    </w:lvl>
    <w:lvl w:ilvl="1">
      <w:start w:val="1"/>
      <w:numFmt w:val="decimal"/>
      <w:pStyle w:val="2"/>
      <w:suff w:val="nothing"/>
      <w:lvlText w:val="(%2) "/>
      <w:lvlJc w:val="left"/>
      <w:pPr>
        <w:ind w:firstLine="220"/>
      </w:pPr>
      <w:rPr>
        <w:rFonts w:ascii="ＭＳ 明朝" w:eastAsia="ＭＳ 明朝" w:hint="eastAsia"/>
        <w:b w:val="0"/>
        <w:i w:val="0"/>
        <w:caps w:val="0"/>
        <w:strike w:val="0"/>
        <w:dstrike w:val="0"/>
        <w:outline w:val="0"/>
        <w:shadow w:val="0"/>
        <w:emboss w:val="0"/>
        <w:imprint w:val="0"/>
        <w:vanish w:val="0"/>
        <w:sz w:val="22"/>
        <w:u w:val="none"/>
        <w:vertAlign w:val="baseline"/>
      </w:rPr>
    </w:lvl>
    <w:lvl w:ilvl="2">
      <w:start w:val="1"/>
      <w:numFmt w:val="none"/>
      <w:pStyle w:val="3"/>
      <w:suff w:val="nothing"/>
      <w:lvlText w:val=""/>
      <w:lvlJc w:val="left"/>
      <w:pPr>
        <w:ind w:firstLine="340"/>
      </w:pPr>
      <w:rPr>
        <w:rFonts w:ascii="ＭＳ 明朝" w:eastAsia="ＭＳ 明朝" w:hint="eastAsia"/>
        <w:b w:val="0"/>
        <w:i w:val="0"/>
        <w:caps w:val="0"/>
        <w:strike w:val="0"/>
        <w:dstrike w:val="0"/>
        <w:outline w:val="0"/>
        <w:shadow w:val="0"/>
        <w:emboss w:val="0"/>
        <w:imprint w:val="0"/>
        <w:vanish w:val="0"/>
        <w:sz w:val="24"/>
        <w:u w:val="none"/>
        <w:vertAlign w:val="baseline"/>
      </w:rPr>
    </w:lvl>
    <w:lvl w:ilvl="3">
      <w:start w:val="1"/>
      <w:numFmt w:val="irohaFullWidth"/>
      <w:pStyle w:val="4"/>
      <w:suff w:val="nothing"/>
      <w:lvlText w:val="%4．"/>
      <w:lvlJc w:val="left"/>
      <w:pPr>
        <w:ind w:firstLine="440"/>
      </w:pPr>
      <w:rPr>
        <w:rFonts w:ascii="ＭＳ 明朝" w:eastAsia="ＭＳ 明朝" w:hint="eastAsia"/>
        <w:b w:val="0"/>
        <w:i w:val="0"/>
        <w:sz w:val="22"/>
        <w:u w:val="none"/>
      </w:rPr>
    </w:lvl>
    <w:lvl w:ilvl="4">
      <w:start w:val="1"/>
      <w:numFmt w:val="irohaFullWidth"/>
      <w:suff w:val="nothing"/>
      <w:lvlText w:val="%5．"/>
      <w:lvlJc w:val="left"/>
      <w:pPr>
        <w:ind w:firstLine="851"/>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66"/>
    <w:rsid w:val="00045171"/>
    <w:rsid w:val="0004682A"/>
    <w:rsid w:val="000609A7"/>
    <w:rsid w:val="000A175C"/>
    <w:rsid w:val="000B66B0"/>
    <w:rsid w:val="000C308C"/>
    <w:rsid w:val="000F166F"/>
    <w:rsid w:val="00104085"/>
    <w:rsid w:val="00120E37"/>
    <w:rsid w:val="0015770A"/>
    <w:rsid w:val="001D2537"/>
    <w:rsid w:val="00297C29"/>
    <w:rsid w:val="00355B57"/>
    <w:rsid w:val="00362E5B"/>
    <w:rsid w:val="003D7DBD"/>
    <w:rsid w:val="003E04D6"/>
    <w:rsid w:val="00416331"/>
    <w:rsid w:val="004C1221"/>
    <w:rsid w:val="004E1448"/>
    <w:rsid w:val="005750ED"/>
    <w:rsid w:val="00576AD5"/>
    <w:rsid w:val="005F19B4"/>
    <w:rsid w:val="00636352"/>
    <w:rsid w:val="006561C6"/>
    <w:rsid w:val="00673858"/>
    <w:rsid w:val="006B621B"/>
    <w:rsid w:val="006C3117"/>
    <w:rsid w:val="00713A72"/>
    <w:rsid w:val="007D7DCB"/>
    <w:rsid w:val="007F655C"/>
    <w:rsid w:val="00862473"/>
    <w:rsid w:val="00894F85"/>
    <w:rsid w:val="008A6BC9"/>
    <w:rsid w:val="008E2E2C"/>
    <w:rsid w:val="009D4DEA"/>
    <w:rsid w:val="00A162B0"/>
    <w:rsid w:val="00A23C1A"/>
    <w:rsid w:val="00A51737"/>
    <w:rsid w:val="00A7587A"/>
    <w:rsid w:val="00A779C9"/>
    <w:rsid w:val="00A85FC4"/>
    <w:rsid w:val="00AC5A58"/>
    <w:rsid w:val="00AF53EA"/>
    <w:rsid w:val="00B75D84"/>
    <w:rsid w:val="00B81022"/>
    <w:rsid w:val="00B94B72"/>
    <w:rsid w:val="00CB0908"/>
    <w:rsid w:val="00CB30F5"/>
    <w:rsid w:val="00CF0666"/>
    <w:rsid w:val="00D27C83"/>
    <w:rsid w:val="00D66ECB"/>
    <w:rsid w:val="00E3691B"/>
    <w:rsid w:val="00E7484A"/>
    <w:rsid w:val="00EC2A15"/>
    <w:rsid w:val="00F43DCA"/>
    <w:rsid w:val="00F8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rPr>
  </w:style>
  <w:style w:type="paragraph" w:styleId="1">
    <w:name w:val="heading 1"/>
    <w:basedOn w:val="a"/>
    <w:next w:val="a"/>
    <w:qFormat/>
    <w:pPr>
      <w:keepNext/>
      <w:pageBreakBefore/>
      <w:numPr>
        <w:numId w:val="1"/>
      </w:numPr>
      <w:spacing w:after="360" w:line="420" w:lineRule="exact"/>
      <w:outlineLvl w:val="0"/>
    </w:pPr>
    <w:rPr>
      <w:rFonts w:ascii="ＭＳ ゴシック" w:eastAsia="ＭＳ ゴシック"/>
      <w:spacing w:val="40"/>
      <w:sz w:val="22"/>
    </w:rPr>
  </w:style>
  <w:style w:type="paragraph" w:styleId="2">
    <w:name w:val="heading 2"/>
    <w:basedOn w:val="a"/>
    <w:next w:val="a0"/>
    <w:qFormat/>
    <w:pPr>
      <w:keepNext/>
      <w:numPr>
        <w:ilvl w:val="1"/>
        <w:numId w:val="1"/>
      </w:numPr>
      <w:spacing w:before="420" w:after="420"/>
      <w:textAlignment w:val="center"/>
      <w:outlineLvl w:val="1"/>
    </w:pPr>
    <w:rPr>
      <w:sz w:val="22"/>
    </w:rPr>
  </w:style>
  <w:style w:type="paragraph" w:styleId="3">
    <w:name w:val="heading 3"/>
    <w:basedOn w:val="a"/>
    <w:next w:val="a0"/>
    <w:qFormat/>
    <w:pPr>
      <w:keepNext/>
      <w:numPr>
        <w:ilvl w:val="2"/>
        <w:numId w:val="1"/>
      </w:numPr>
      <w:spacing w:before="240" w:line="420" w:lineRule="exact"/>
      <w:outlineLvl w:val="2"/>
    </w:pPr>
    <w:rPr>
      <w:rFonts w:ascii="Arial"/>
      <w:sz w:val="22"/>
    </w:rPr>
  </w:style>
  <w:style w:type="paragraph" w:styleId="4">
    <w:name w:val="heading 4"/>
    <w:basedOn w:val="a"/>
    <w:next w:val="a0"/>
    <w:qFormat/>
    <w:pPr>
      <w:keepNext/>
      <w:numPr>
        <w:ilvl w:val="3"/>
        <w:numId w:val="1"/>
      </w:numPr>
      <w:spacing w:after="420"/>
      <w:ind w:left="1980" w:hanging="1540"/>
      <w:outlineLvl w:val="3"/>
    </w:pPr>
    <w:rPr>
      <w:rFonts w:ascii="Century" w:hAnsi="Century"/>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utoSpaceDE w:val="0"/>
      <w:autoSpaceDN w:val="0"/>
      <w:spacing w:line="420" w:lineRule="exact"/>
    </w:pPr>
    <w:rPr>
      <w:rFonts w:hAnsi="Century"/>
      <w:sz w:val="22"/>
    </w:rPr>
  </w:style>
  <w:style w:type="paragraph" w:styleId="a4">
    <w:name w:val="Plain Text"/>
    <w:basedOn w:val="a"/>
    <w:link w:val="a5"/>
    <w:rPr>
      <w:rFonts w:hAnsi="Courier New"/>
    </w:rPr>
  </w:style>
  <w:style w:type="paragraph" w:styleId="a6">
    <w:name w:val="footer"/>
    <w:basedOn w:val="a"/>
    <w:pPr>
      <w:tabs>
        <w:tab w:val="center" w:pos="4252"/>
        <w:tab w:val="right" w:pos="8504"/>
      </w:tabs>
      <w:snapToGrid w:val="0"/>
    </w:pPr>
  </w:style>
  <w:style w:type="character" w:styleId="a7">
    <w:name w:val="page number"/>
    <w:basedOn w:val="a1"/>
  </w:style>
  <w:style w:type="character" w:styleId="a8">
    <w:name w:val="Hyperlink"/>
    <w:rPr>
      <w:color w:val="0000FF"/>
      <w:u w:val="single"/>
    </w:rPr>
  </w:style>
  <w:style w:type="paragraph" w:styleId="a9">
    <w:name w:val="Note Heading"/>
    <w:basedOn w:val="a"/>
    <w:next w:val="a"/>
    <w:pPr>
      <w:jc w:val="center"/>
    </w:pPr>
    <w:rPr>
      <w:rFonts w:hAnsi="Courier New"/>
    </w:rPr>
  </w:style>
  <w:style w:type="paragraph" w:styleId="aa">
    <w:name w:val="Closing"/>
    <w:basedOn w:val="a"/>
    <w:next w:val="a"/>
    <w:pPr>
      <w:jc w:val="right"/>
    </w:pPr>
    <w:rPr>
      <w:rFonts w:hAnsi="Courier New"/>
    </w:rPr>
  </w:style>
  <w:style w:type="paragraph" w:styleId="ab">
    <w:name w:val="Date"/>
    <w:basedOn w:val="a"/>
    <w:next w:val="a"/>
  </w:style>
  <w:style w:type="paragraph" w:styleId="ac">
    <w:name w:val="header"/>
    <w:basedOn w:val="a"/>
    <w:pPr>
      <w:tabs>
        <w:tab w:val="center" w:pos="4252"/>
        <w:tab w:val="right" w:pos="8504"/>
      </w:tabs>
      <w:snapToGrid w:val="0"/>
    </w:pPr>
  </w:style>
  <w:style w:type="paragraph" w:styleId="20">
    <w:name w:val="Body Text Indent 2"/>
    <w:basedOn w:val="a"/>
    <w:pPr>
      <w:ind w:left="618" w:hanging="618"/>
    </w:pPr>
    <w:rPr>
      <w:rFonts w:hAnsi="Century"/>
    </w:rPr>
  </w:style>
  <w:style w:type="paragraph" w:styleId="ad">
    <w:name w:val="Block Text"/>
    <w:basedOn w:val="a"/>
    <w:pPr>
      <w:autoSpaceDE w:val="0"/>
      <w:autoSpaceDN w:val="0"/>
      <w:adjustRightInd w:val="0"/>
      <w:spacing w:line="360" w:lineRule="exact"/>
      <w:ind w:left="780" w:right="216" w:hanging="420"/>
      <w:textAlignment w:val="bottom"/>
    </w:pPr>
    <w:rPr>
      <w:rFonts w:ascii="Century" w:eastAsia="Mincho" w:hAnsi="Century"/>
      <w:kern w:val="0"/>
    </w:rPr>
  </w:style>
  <w:style w:type="paragraph" w:styleId="ae">
    <w:name w:val="Balloon Text"/>
    <w:basedOn w:val="a"/>
    <w:semiHidden/>
    <w:rsid w:val="00362E5B"/>
    <w:rPr>
      <w:rFonts w:ascii="Arial" w:eastAsia="ＭＳ ゴシック"/>
      <w:sz w:val="18"/>
      <w:szCs w:val="18"/>
    </w:rPr>
  </w:style>
  <w:style w:type="character" w:customStyle="1" w:styleId="a5">
    <w:name w:val="書式なし (文字)"/>
    <w:link w:val="a4"/>
    <w:rsid w:val="00E3691B"/>
    <w:rPr>
      <w:rFonts w:ascii="ＭＳ 明朝" w:eastAsia="ＭＳ 明朝" w:hAnsi="Courier New"/>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2885</Characters>
  <Application>Microsoft Office Word</Application>
  <DocSecurity>0</DocSecurity>
  <Lines>24</Lines>
  <Paragraphs>6</Paragraphs>
  <ScaleCrop>false</ScaleCrop>
  <Manager/>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2022-08-12T09:47:00Z</dcterms:created>
  <dcterms:modified xsi:type="dcterms:W3CDTF">2022-08-12T09:47:00Z</dcterms:modified>
</cp:coreProperties>
</file>