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1ED" w:rsidRDefault="007F4EB6" w:rsidP="001B31ED">
      <w:pPr>
        <w:ind w:firstLine="860"/>
        <w:rPr>
          <w:rFonts w:ascii="ＭＳ ゴシック" w:eastAsia="ＭＳ ゴシック" w:hAnsi="ＭＳ ゴシック" w:cs="ＭＳ Ｐ明朝"/>
          <w:sz w:val="28"/>
          <w:szCs w:val="28"/>
        </w:rPr>
      </w:pPr>
      <w:r w:rsidRPr="001B31ED">
        <w:rPr>
          <w:rFonts w:ascii="ＭＳ ゴシック" w:eastAsia="ＭＳ ゴシック" w:hAnsi="ＭＳ ゴシック" w:cs="ＭＳ Ｐ明朝" w:hint="eastAsia"/>
          <w:sz w:val="28"/>
          <w:szCs w:val="28"/>
        </w:rPr>
        <w:t>国債整理基金が行う国債の買入についての日本銀行金融</w:t>
      </w:r>
    </w:p>
    <w:p w:rsidR="007F4EB6" w:rsidRPr="001B31ED" w:rsidRDefault="007F4EB6" w:rsidP="001B31ED">
      <w:pPr>
        <w:ind w:firstLine="860"/>
        <w:rPr>
          <w:rFonts w:ascii="ＭＳ ゴシック" w:eastAsia="ＭＳ ゴシック" w:hAnsi="ＭＳ ゴシック" w:cs="Times New Roman"/>
          <w:sz w:val="28"/>
          <w:szCs w:val="28"/>
        </w:rPr>
      </w:pPr>
      <w:r w:rsidRPr="001B31ED">
        <w:rPr>
          <w:rFonts w:ascii="ＭＳ ゴシック" w:eastAsia="ＭＳ ゴシック" w:hAnsi="ＭＳ ゴシック" w:cs="ＭＳ Ｐ明朝" w:hint="eastAsia"/>
          <w:sz w:val="28"/>
          <w:szCs w:val="28"/>
        </w:rPr>
        <w:t>ネットワークシステムの利用に関する規則</w:t>
      </w:r>
    </w:p>
    <w:p w:rsidR="007F4EB6" w:rsidRPr="007F4EB6" w:rsidRDefault="007F4EB6" w:rsidP="007F4EB6">
      <w:pPr>
        <w:rPr>
          <w:rFonts w:cs="Times New Roman"/>
        </w:rPr>
      </w:pPr>
    </w:p>
    <w:p w:rsidR="007F4EB6" w:rsidRPr="007F4EB6" w:rsidRDefault="007F4EB6" w:rsidP="007F4EB6">
      <w:pPr>
        <w:rPr>
          <w:rFonts w:cs="Times New Roman"/>
        </w:rPr>
      </w:pPr>
    </w:p>
    <w:p w:rsidR="007F4EB6" w:rsidRPr="001B31ED" w:rsidRDefault="007F4EB6" w:rsidP="007F4EB6">
      <w:pPr>
        <w:spacing w:before="120"/>
        <w:ind w:left="216" w:hanging="216"/>
        <w:rPr>
          <w:rFonts w:ascii="ＭＳ 明朝" w:eastAsia="ＭＳ 明朝" w:hAnsi="ＭＳ 明朝" w:cs="Times New Roman"/>
        </w:rPr>
      </w:pPr>
      <w:r w:rsidRPr="001B31ED">
        <w:rPr>
          <w:rFonts w:ascii="ＭＳ 明朝" w:eastAsia="ＭＳ 明朝" w:hAnsi="ＭＳ 明朝" w:cs="ＭＳ Ｐ明朝" w:hint="eastAsia"/>
        </w:rPr>
        <w:t>（趣旨）</w:t>
      </w:r>
    </w:p>
    <w:p w:rsidR="007F4EB6" w:rsidRPr="001B31ED" w:rsidRDefault="007F4EB6" w:rsidP="007F4EB6">
      <w:pPr>
        <w:spacing w:before="120"/>
        <w:ind w:left="216" w:hanging="216"/>
        <w:rPr>
          <w:rFonts w:ascii="ＭＳ 明朝" w:eastAsia="ＭＳ 明朝" w:hAnsi="ＭＳ 明朝" w:cs="Times New Roman"/>
        </w:rPr>
      </w:pPr>
      <w:r w:rsidRPr="001B31ED">
        <w:rPr>
          <w:rFonts w:ascii="ＭＳ 明朝" w:eastAsia="ＭＳ 明朝" w:hAnsi="ＭＳ 明朝" w:cs="ＭＳ Ｐ明朝" w:hint="eastAsia"/>
        </w:rPr>
        <w:t>第１条　この規則は、日本銀行が取扱う国債整理基金が行う国債の買入（以下「国債整理基金国債買入」という。）および国債整理基金国債買入についての日本銀行金融ネットワークシステム（以下「日銀ネット」という。）の利用に関する基本的な事項のうち、「金融調節等入札連絡事務についての日本銀行金融ネットワークシステムの利用に関する規則」（以下「入札連絡事務日銀ネット利用規則」という。）に定める事項以外の事項を定める。</w:t>
      </w:r>
    </w:p>
    <w:p w:rsidR="007F4EB6" w:rsidRPr="001B31ED" w:rsidRDefault="007F4EB6" w:rsidP="007F4EB6">
      <w:pPr>
        <w:spacing w:before="120"/>
        <w:ind w:left="216" w:hanging="216"/>
        <w:rPr>
          <w:rFonts w:ascii="ＭＳ 明朝" w:eastAsia="ＭＳ 明朝" w:hAnsi="ＭＳ 明朝" w:cs="Times New Roman"/>
        </w:rPr>
      </w:pPr>
    </w:p>
    <w:p w:rsidR="007F4EB6" w:rsidRPr="001B31ED" w:rsidRDefault="007F4EB6" w:rsidP="007F4EB6">
      <w:pPr>
        <w:spacing w:before="120"/>
        <w:ind w:left="216" w:hanging="216"/>
        <w:rPr>
          <w:rFonts w:ascii="ＭＳ 明朝" w:eastAsia="ＭＳ 明朝" w:hAnsi="ＭＳ 明朝" w:cs="Times New Roman"/>
        </w:rPr>
      </w:pPr>
      <w:r w:rsidRPr="001B31ED">
        <w:rPr>
          <w:rFonts w:ascii="ＭＳ 明朝" w:eastAsia="ＭＳ 明朝" w:hAnsi="ＭＳ 明朝" w:cs="ＭＳ Ｐ明朝" w:hint="eastAsia"/>
        </w:rPr>
        <w:t>（用語の定義）</w:t>
      </w:r>
    </w:p>
    <w:p w:rsidR="007F4EB6" w:rsidRPr="001B31ED" w:rsidRDefault="007F4EB6" w:rsidP="007F4EB6">
      <w:pPr>
        <w:spacing w:before="120"/>
        <w:ind w:left="216" w:hanging="216"/>
        <w:rPr>
          <w:rFonts w:ascii="ＭＳ 明朝" w:eastAsia="ＭＳ 明朝" w:hAnsi="ＭＳ 明朝" w:cs="Times New Roman"/>
        </w:rPr>
      </w:pPr>
      <w:r w:rsidRPr="001B31ED">
        <w:rPr>
          <w:rFonts w:ascii="ＭＳ 明朝" w:eastAsia="ＭＳ 明朝" w:hAnsi="ＭＳ 明朝" w:cs="ＭＳ Ｐ明朝" w:hint="eastAsia"/>
        </w:rPr>
        <w:t>第２条　この規則において「利用金融機関等」とは、財務大臣が国債整理基金国債買入のための入札に参加することができる者として決定した金融機関等をいう。</w:t>
      </w:r>
    </w:p>
    <w:p w:rsidR="007F4EB6" w:rsidRPr="001B31ED" w:rsidRDefault="007F4EB6" w:rsidP="007F4EB6">
      <w:pPr>
        <w:spacing w:before="120"/>
        <w:ind w:left="216" w:hanging="216"/>
        <w:rPr>
          <w:rFonts w:ascii="ＭＳ 明朝" w:eastAsia="ＭＳ 明朝" w:hAnsi="ＭＳ 明朝" w:cs="Times New Roman"/>
        </w:rPr>
      </w:pPr>
      <w:r w:rsidRPr="001B31ED">
        <w:rPr>
          <w:rFonts w:ascii="ＭＳ 明朝" w:eastAsia="ＭＳ 明朝" w:hAnsi="ＭＳ 明朝" w:cs="ＭＳ Ｐ明朝" w:hint="eastAsia"/>
        </w:rPr>
        <w:t>２．この規則において「利用先」とは、利用金融機関等の営業所等であって、日本銀行が国債整理基金国債買入についての日銀ネットの利用を認めたものをいう。</w:t>
      </w:r>
    </w:p>
    <w:p w:rsidR="007F4EB6" w:rsidRPr="001B31ED" w:rsidRDefault="007F4EB6" w:rsidP="007F4EB6">
      <w:pPr>
        <w:spacing w:before="120"/>
        <w:ind w:left="216" w:hanging="216"/>
        <w:rPr>
          <w:rFonts w:ascii="ＭＳ 明朝" w:eastAsia="ＭＳ 明朝" w:hAnsi="ＭＳ 明朝" w:cs="Times New Roman"/>
        </w:rPr>
      </w:pPr>
      <w:r w:rsidRPr="001B31ED">
        <w:rPr>
          <w:rFonts w:ascii="ＭＳ 明朝" w:eastAsia="ＭＳ 明朝" w:hAnsi="ＭＳ 明朝" w:cs="ＭＳ Ｐ明朝" w:hint="eastAsia"/>
        </w:rPr>
        <w:t>３．この規則において「売渡人」とは、利用先のうち、国債整理基金国債買入のための入札において応募が募入となったものをいう。</w:t>
      </w:r>
    </w:p>
    <w:p w:rsidR="007F4EB6" w:rsidRPr="001B31ED" w:rsidRDefault="007F4EB6" w:rsidP="007F4EB6">
      <w:pPr>
        <w:spacing w:before="120"/>
        <w:ind w:left="216" w:hanging="216"/>
        <w:rPr>
          <w:rFonts w:ascii="ＭＳ 明朝" w:eastAsia="ＭＳ 明朝" w:hAnsi="ＭＳ 明朝" w:cs="Times New Roman"/>
        </w:rPr>
      </w:pPr>
    </w:p>
    <w:p w:rsidR="007F4EB6" w:rsidRPr="001B31ED" w:rsidRDefault="007F4EB6" w:rsidP="007F4EB6">
      <w:pPr>
        <w:spacing w:before="120"/>
        <w:ind w:left="216" w:hanging="216"/>
        <w:rPr>
          <w:rFonts w:ascii="ＭＳ 明朝" w:eastAsia="ＭＳ 明朝" w:hAnsi="ＭＳ 明朝" w:cs="Times New Roman"/>
        </w:rPr>
      </w:pPr>
      <w:r w:rsidRPr="001B31ED">
        <w:rPr>
          <w:rFonts w:ascii="ＭＳ 明朝" w:eastAsia="ＭＳ 明朝" w:hAnsi="ＭＳ 明朝" w:cs="ＭＳ Ｐ明朝" w:hint="eastAsia"/>
        </w:rPr>
        <w:t>（買入内容の確認）</w:t>
      </w:r>
    </w:p>
    <w:p w:rsidR="007F4EB6" w:rsidRPr="001B31ED" w:rsidRDefault="007F4EB6" w:rsidP="007F4EB6">
      <w:pPr>
        <w:spacing w:before="120"/>
        <w:ind w:left="216" w:hanging="216"/>
        <w:rPr>
          <w:rFonts w:ascii="ＭＳ 明朝" w:eastAsia="ＭＳ 明朝" w:hAnsi="ＭＳ 明朝" w:cs="Times New Roman"/>
        </w:rPr>
      </w:pPr>
      <w:r w:rsidRPr="001B31ED">
        <w:rPr>
          <w:rFonts w:ascii="ＭＳ 明朝" w:eastAsia="ＭＳ 明朝" w:hAnsi="ＭＳ 明朝" w:cs="ＭＳ Ｐ明朝" w:hint="eastAsia"/>
        </w:rPr>
        <w:t>第３条　売渡人は、入札連絡事務日銀ネット利用規則第４条第１項第１４号の規定による通知の内容に異議がない場合には、遅滞なく、日銀ネットを利用して、その旨を日本銀行に通知する。</w:t>
      </w:r>
    </w:p>
    <w:p w:rsidR="007F4EB6" w:rsidRDefault="007F4EB6" w:rsidP="007F4EB6">
      <w:pPr>
        <w:spacing w:before="120"/>
        <w:ind w:left="216" w:hanging="216"/>
        <w:rPr>
          <w:rFonts w:ascii="ＭＳ 明朝" w:eastAsia="ＭＳ 明朝" w:hAnsi="ＭＳ 明朝" w:cs="Times New Roman"/>
        </w:rPr>
      </w:pPr>
    </w:p>
    <w:p w:rsidR="007F4EB6" w:rsidRPr="001B31ED" w:rsidRDefault="007F4EB6" w:rsidP="007F4EB6">
      <w:pPr>
        <w:spacing w:before="120"/>
        <w:ind w:left="216" w:hanging="216"/>
        <w:rPr>
          <w:rFonts w:ascii="ＭＳ 明朝" w:eastAsia="ＭＳ 明朝" w:hAnsi="ＭＳ 明朝" w:cs="Times New Roman"/>
        </w:rPr>
      </w:pPr>
      <w:bookmarkStart w:id="0" w:name="_GoBack"/>
      <w:bookmarkEnd w:id="0"/>
      <w:r w:rsidRPr="001B31ED">
        <w:rPr>
          <w:rFonts w:ascii="ＭＳ 明朝" w:eastAsia="ＭＳ 明朝" w:hAnsi="ＭＳ 明朝" w:cs="ＭＳ Ｐ明朝" w:hint="eastAsia"/>
        </w:rPr>
        <w:t>（買入の実行）</w:t>
      </w:r>
    </w:p>
    <w:p w:rsidR="007F4EB6" w:rsidRPr="001B31ED" w:rsidRDefault="007F4EB6" w:rsidP="007F4EB6">
      <w:pPr>
        <w:spacing w:before="120"/>
        <w:ind w:left="216" w:hanging="216"/>
        <w:rPr>
          <w:rFonts w:ascii="ＭＳ 明朝" w:eastAsia="ＭＳ 明朝" w:hAnsi="ＭＳ 明朝" w:cs="Times New Roman"/>
        </w:rPr>
      </w:pPr>
      <w:r w:rsidRPr="001B31ED">
        <w:rPr>
          <w:rFonts w:ascii="ＭＳ 明朝" w:eastAsia="ＭＳ 明朝" w:hAnsi="ＭＳ 明朝" w:cs="ＭＳ Ｐ明朝" w:hint="eastAsia"/>
        </w:rPr>
        <w:t>第４条　売渡人は、国債整理基金が国債の買入を行う日の日本銀行が別に定め</w:t>
      </w:r>
      <w:r w:rsidRPr="001B31ED">
        <w:rPr>
          <w:rFonts w:ascii="ＭＳ 明朝" w:eastAsia="ＭＳ 明朝" w:hAnsi="ＭＳ 明朝" w:cs="ＭＳ Ｐ明朝" w:hint="eastAsia"/>
        </w:rPr>
        <w:lastRenderedPageBreak/>
        <w:t>る刻限までに、売渡す国債を国債整理基金に引渡す。</w:t>
      </w:r>
    </w:p>
    <w:p w:rsidR="007F4EB6" w:rsidRPr="001B31ED" w:rsidRDefault="007F4EB6" w:rsidP="007F4EB6">
      <w:pPr>
        <w:spacing w:before="120"/>
        <w:ind w:left="216" w:hanging="216"/>
        <w:rPr>
          <w:rFonts w:ascii="ＭＳ 明朝" w:eastAsia="ＭＳ 明朝" w:hAnsi="ＭＳ 明朝" w:cs="Times New Roman"/>
        </w:rPr>
      </w:pPr>
      <w:r w:rsidRPr="001B31ED">
        <w:rPr>
          <w:rFonts w:ascii="ＭＳ 明朝" w:eastAsia="ＭＳ 明朝" w:hAnsi="ＭＳ 明朝" w:cs="ＭＳ Ｐ明朝" w:hint="eastAsia"/>
        </w:rPr>
        <w:t>２．売渡人は、前項の規定により売渡す国債を国債整理基金に引渡す場合には、当該国債について、日銀ネットを利用して、国債振替決済制度における国債整理基金名義の参加者口座への振替の申請を行う。</w:t>
      </w:r>
    </w:p>
    <w:p w:rsidR="007F4EB6" w:rsidRPr="001B31ED" w:rsidRDefault="007F4EB6" w:rsidP="007F4EB6">
      <w:pPr>
        <w:spacing w:before="120"/>
        <w:ind w:left="216" w:hanging="216"/>
        <w:rPr>
          <w:rFonts w:ascii="ＭＳ 明朝" w:eastAsia="ＭＳ 明朝" w:hAnsi="ＭＳ 明朝" w:cs="Times New Roman"/>
        </w:rPr>
      </w:pPr>
      <w:r w:rsidRPr="001B31ED">
        <w:rPr>
          <w:rFonts w:ascii="ＭＳ 明朝" w:eastAsia="ＭＳ 明朝" w:hAnsi="ＭＳ 明朝" w:cs="ＭＳ Ｐ明朝" w:hint="eastAsia"/>
        </w:rPr>
        <w:t>３．日本銀行は、前２項による国債整理基金への国債の引渡と引換に、当該国債の買入代金を売渡人に支払う。</w:t>
      </w:r>
    </w:p>
    <w:p w:rsidR="007F4EB6" w:rsidRPr="001B31ED" w:rsidRDefault="007F4EB6" w:rsidP="007F4EB6">
      <w:pPr>
        <w:spacing w:before="120"/>
        <w:ind w:left="216" w:hanging="216"/>
        <w:rPr>
          <w:rFonts w:ascii="ＭＳ 明朝" w:eastAsia="ＭＳ 明朝" w:hAnsi="ＭＳ 明朝" w:cs="Times New Roman"/>
        </w:rPr>
      </w:pPr>
      <w:r w:rsidRPr="001B31ED">
        <w:rPr>
          <w:rFonts w:ascii="ＭＳ 明朝" w:eastAsia="ＭＳ 明朝" w:hAnsi="ＭＳ 明朝" w:cs="ＭＳ Ｐ明朝" w:hint="eastAsia"/>
        </w:rPr>
        <w:t>４．日本銀行は、前項の規定により買入代金を売渡人に支払う場合には、当該買入代金について、日本銀行にある当該売渡人の当座勘定への入金により行う。</w:t>
      </w:r>
    </w:p>
    <w:p w:rsidR="007F4EB6" w:rsidRPr="001B31ED" w:rsidRDefault="007F4EB6" w:rsidP="007F4EB6">
      <w:pPr>
        <w:spacing w:before="120"/>
        <w:ind w:left="216" w:hanging="216"/>
        <w:rPr>
          <w:rFonts w:ascii="ＭＳ 明朝" w:eastAsia="ＭＳ 明朝" w:hAnsi="ＭＳ 明朝" w:cs="Times New Roman"/>
        </w:rPr>
      </w:pPr>
      <w:r w:rsidRPr="001B31ED">
        <w:rPr>
          <w:rFonts w:ascii="ＭＳ 明朝" w:eastAsia="ＭＳ 明朝" w:hAnsi="ＭＳ 明朝" w:cs="ＭＳ Ｐ明朝" w:hint="eastAsia"/>
        </w:rPr>
        <w:t>５．第２項の国債振替決済制度における国債整理基金名義の参加者口座への振替の申請は、取消すことができない。</w:t>
      </w:r>
    </w:p>
    <w:p w:rsidR="007F4EB6" w:rsidRPr="001B31ED" w:rsidRDefault="007F4EB6" w:rsidP="007F4EB6">
      <w:pPr>
        <w:spacing w:before="120"/>
        <w:ind w:left="216" w:hanging="216"/>
        <w:rPr>
          <w:rFonts w:ascii="ＭＳ 明朝" w:eastAsia="ＭＳ 明朝" w:hAnsi="ＭＳ 明朝" w:cs="Times New Roman"/>
        </w:rPr>
      </w:pPr>
    </w:p>
    <w:p w:rsidR="007F4EB6" w:rsidRPr="001B31ED" w:rsidRDefault="007F4EB6" w:rsidP="007F4EB6">
      <w:pPr>
        <w:spacing w:before="120"/>
        <w:ind w:left="216" w:hanging="216"/>
        <w:rPr>
          <w:rFonts w:ascii="ＭＳ 明朝" w:eastAsia="ＭＳ 明朝" w:hAnsi="ＭＳ 明朝" w:cs="Times New Roman"/>
        </w:rPr>
      </w:pPr>
      <w:r w:rsidRPr="001B31ED">
        <w:rPr>
          <w:rFonts w:ascii="ＭＳ 明朝" w:eastAsia="ＭＳ 明朝" w:hAnsi="ＭＳ 明朝" w:cs="ＭＳ Ｐ明朝" w:hint="eastAsia"/>
        </w:rPr>
        <w:t>（日銀ネットの利用に関する約定の解約）</w:t>
      </w:r>
    </w:p>
    <w:p w:rsidR="007F4EB6" w:rsidRPr="001B31ED" w:rsidRDefault="007F4EB6" w:rsidP="007F4EB6">
      <w:pPr>
        <w:spacing w:before="120"/>
        <w:ind w:left="216" w:hanging="216"/>
        <w:rPr>
          <w:rFonts w:ascii="ＭＳ 明朝" w:eastAsia="ＭＳ 明朝" w:hAnsi="ＭＳ 明朝" w:cs="Times New Roman"/>
        </w:rPr>
      </w:pPr>
      <w:r w:rsidRPr="001B31ED">
        <w:rPr>
          <w:rFonts w:ascii="ＭＳ 明朝" w:eastAsia="ＭＳ 明朝" w:hAnsi="ＭＳ 明朝" w:cs="ＭＳ Ｐ明朝" w:hint="eastAsia"/>
        </w:rPr>
        <w:t>第５条　日本銀行は、利用金融機関等が、財務大臣が国債整理基金国債買入のための入札に参加することができる者として決定した金融機関等から除外された場合には、書面の通知により、直ちに、国債整理基金国債買入についての日銀ネットの利用に関する約定を解約することができる。この場合、通知による解約は通知の発送時に効力が発生するものとする。</w:t>
      </w:r>
    </w:p>
    <w:p w:rsidR="007F4EB6" w:rsidRPr="001B31ED" w:rsidRDefault="007F4EB6" w:rsidP="007F4EB6">
      <w:pPr>
        <w:spacing w:before="120"/>
        <w:ind w:left="216" w:hanging="216"/>
        <w:rPr>
          <w:rFonts w:ascii="ＭＳ 明朝" w:eastAsia="ＭＳ 明朝" w:hAnsi="ＭＳ 明朝" w:cs="Times New Roman"/>
        </w:rPr>
      </w:pPr>
    </w:p>
    <w:p w:rsidR="007F4EB6" w:rsidRPr="001B31ED" w:rsidRDefault="007F4EB6" w:rsidP="007F4EB6">
      <w:pPr>
        <w:spacing w:before="120"/>
        <w:ind w:left="216" w:hanging="216"/>
        <w:rPr>
          <w:rFonts w:ascii="ＭＳ 明朝" w:eastAsia="ＭＳ 明朝" w:hAnsi="ＭＳ 明朝" w:cs="Times New Roman"/>
        </w:rPr>
      </w:pPr>
      <w:r w:rsidRPr="001B31ED">
        <w:rPr>
          <w:rFonts w:ascii="ＭＳ 明朝" w:eastAsia="ＭＳ 明朝" w:hAnsi="ＭＳ 明朝" w:cs="ＭＳ Ｐ明朝" w:hint="eastAsia"/>
        </w:rPr>
        <w:t>（事務処理の通知等）</w:t>
      </w:r>
    </w:p>
    <w:p w:rsidR="007F4EB6" w:rsidRPr="001B31ED" w:rsidRDefault="007F4EB6" w:rsidP="007F4EB6">
      <w:pPr>
        <w:spacing w:before="120"/>
        <w:ind w:left="216" w:hanging="216"/>
        <w:rPr>
          <w:rFonts w:ascii="ＭＳ 明朝" w:eastAsia="ＭＳ 明朝" w:hAnsi="ＭＳ 明朝" w:cs="Times New Roman"/>
        </w:rPr>
      </w:pPr>
      <w:r w:rsidRPr="001B31ED">
        <w:rPr>
          <w:rFonts w:ascii="ＭＳ 明朝" w:eastAsia="ＭＳ 明朝" w:hAnsi="ＭＳ 明朝" w:cs="ＭＳ Ｐ明朝" w:hint="eastAsia"/>
        </w:rPr>
        <w:t>第６条　日本銀行は、国債整理基金国債買入における買入の実行を行った場合その他の場合において、日本銀行が別に定めるときは、利用先に対し、日銀ネットによりその旨を通知する。</w:t>
      </w:r>
    </w:p>
    <w:p w:rsidR="007F4EB6" w:rsidRPr="001B31ED" w:rsidRDefault="007F4EB6" w:rsidP="007F4EB6">
      <w:pPr>
        <w:spacing w:before="120"/>
        <w:ind w:left="216" w:hanging="216"/>
        <w:rPr>
          <w:rFonts w:ascii="ＭＳ 明朝" w:eastAsia="ＭＳ 明朝" w:hAnsi="ＭＳ 明朝" w:cs="Times New Roman"/>
        </w:rPr>
      </w:pPr>
    </w:p>
    <w:p w:rsidR="007F4EB6" w:rsidRPr="001B31ED" w:rsidRDefault="007F4EB6" w:rsidP="007F4EB6">
      <w:pPr>
        <w:spacing w:before="120"/>
        <w:ind w:left="216" w:hanging="216"/>
        <w:rPr>
          <w:rFonts w:ascii="ＭＳ 明朝" w:eastAsia="ＭＳ 明朝" w:hAnsi="ＭＳ 明朝" w:cs="Times New Roman"/>
        </w:rPr>
      </w:pPr>
      <w:r w:rsidRPr="001B31ED">
        <w:rPr>
          <w:rFonts w:ascii="ＭＳ 明朝" w:eastAsia="ＭＳ 明朝" w:hAnsi="ＭＳ 明朝" w:cs="ＭＳ Ｐ明朝" w:hint="eastAsia"/>
        </w:rPr>
        <w:t>（異議の連絡）</w:t>
      </w:r>
    </w:p>
    <w:p w:rsidR="007F4EB6" w:rsidRPr="001B31ED" w:rsidRDefault="007F4EB6" w:rsidP="007F4EB6">
      <w:pPr>
        <w:spacing w:before="120"/>
        <w:ind w:left="216" w:hanging="216"/>
        <w:rPr>
          <w:rFonts w:ascii="ＭＳ 明朝" w:eastAsia="ＭＳ 明朝" w:hAnsi="ＭＳ 明朝" w:cs="Times New Roman"/>
        </w:rPr>
      </w:pPr>
      <w:r w:rsidRPr="001B31ED">
        <w:rPr>
          <w:rFonts w:ascii="ＭＳ 明朝" w:eastAsia="ＭＳ 明朝" w:hAnsi="ＭＳ 明朝" w:cs="ＭＳ Ｐ明朝" w:hint="eastAsia"/>
        </w:rPr>
        <w:t>第７条　利用先は、前条の規定その他の日本銀行が定めるところにより日本銀行が行った通知の内容に異議のある場合には、直ちに日本銀行にその旨を連絡する。</w:t>
      </w:r>
    </w:p>
    <w:p w:rsidR="007F4EB6" w:rsidRDefault="007F4EB6" w:rsidP="007F4EB6">
      <w:pPr>
        <w:spacing w:before="120"/>
        <w:ind w:left="216" w:hanging="216"/>
        <w:rPr>
          <w:rFonts w:ascii="ＭＳ 明朝" w:eastAsia="ＭＳ 明朝" w:hAnsi="ＭＳ 明朝" w:cs="Times New Roman"/>
        </w:rPr>
      </w:pPr>
    </w:p>
    <w:p w:rsidR="007F4EB6" w:rsidRPr="001B31ED" w:rsidRDefault="007F4EB6" w:rsidP="007F4EB6">
      <w:pPr>
        <w:spacing w:before="120"/>
        <w:ind w:left="216" w:hanging="216"/>
        <w:rPr>
          <w:rFonts w:ascii="ＭＳ 明朝" w:eastAsia="ＭＳ 明朝" w:hAnsi="ＭＳ 明朝" w:cs="Times New Roman"/>
        </w:rPr>
      </w:pPr>
      <w:r w:rsidRPr="001B31ED">
        <w:rPr>
          <w:rFonts w:ascii="ＭＳ 明朝" w:eastAsia="ＭＳ 明朝" w:hAnsi="ＭＳ 明朝" w:cs="ＭＳ Ｐ明朝" w:hint="eastAsia"/>
        </w:rPr>
        <w:t>（照会）</w:t>
      </w:r>
    </w:p>
    <w:p w:rsidR="007F4EB6" w:rsidRPr="001B31ED" w:rsidRDefault="007F4EB6" w:rsidP="007F4EB6">
      <w:pPr>
        <w:spacing w:before="120"/>
        <w:ind w:left="216" w:hanging="216"/>
        <w:rPr>
          <w:rFonts w:ascii="ＭＳ 明朝" w:eastAsia="ＭＳ 明朝" w:hAnsi="ＭＳ 明朝" w:cs="Times New Roman"/>
        </w:rPr>
      </w:pPr>
      <w:r w:rsidRPr="001B31ED">
        <w:rPr>
          <w:rFonts w:ascii="ＭＳ 明朝" w:eastAsia="ＭＳ 明朝" w:hAnsi="ＭＳ 明朝" w:cs="ＭＳ Ｐ明朝" w:hint="eastAsia"/>
        </w:rPr>
        <w:lastRenderedPageBreak/>
        <w:t>第８条　利用先は、国債整理基金国債買入に関する事項のうち日本銀行が別に定めるものについては、日銀ネットを利用して照会を行うことができる。</w:t>
      </w:r>
    </w:p>
    <w:p w:rsidR="007F4EB6" w:rsidRPr="001B31ED" w:rsidRDefault="007F4EB6" w:rsidP="007F4EB6">
      <w:pPr>
        <w:spacing w:before="120"/>
        <w:ind w:left="216" w:hanging="216"/>
        <w:rPr>
          <w:rFonts w:ascii="ＭＳ 明朝" w:eastAsia="ＭＳ 明朝" w:hAnsi="ＭＳ 明朝" w:cs="Times New Roman"/>
        </w:rPr>
      </w:pPr>
    </w:p>
    <w:p w:rsidR="007F4EB6" w:rsidRPr="001B31ED" w:rsidRDefault="007F4EB6" w:rsidP="007F4EB6">
      <w:pPr>
        <w:spacing w:before="120"/>
        <w:ind w:left="216" w:hanging="216"/>
        <w:rPr>
          <w:rFonts w:ascii="ＭＳ 明朝" w:eastAsia="ＭＳ 明朝" w:hAnsi="ＭＳ 明朝" w:cs="Times New Roman"/>
        </w:rPr>
      </w:pPr>
      <w:r w:rsidRPr="001B31ED">
        <w:rPr>
          <w:rFonts w:ascii="ＭＳ 明朝" w:eastAsia="ＭＳ 明朝" w:hAnsi="ＭＳ 明朝" w:cs="ＭＳ Ｐ明朝" w:hint="eastAsia"/>
        </w:rPr>
        <w:t>（手数料の支払義務）</w:t>
      </w:r>
    </w:p>
    <w:p w:rsidR="007F4EB6" w:rsidRPr="001B31ED" w:rsidRDefault="007F4EB6" w:rsidP="007F4EB6">
      <w:pPr>
        <w:spacing w:before="120"/>
        <w:ind w:left="216" w:hanging="216"/>
        <w:rPr>
          <w:rFonts w:ascii="ＭＳ 明朝" w:eastAsia="ＭＳ 明朝" w:hAnsi="ＭＳ 明朝" w:cs="Times New Roman"/>
        </w:rPr>
      </w:pPr>
      <w:r w:rsidRPr="001B31ED">
        <w:rPr>
          <w:rFonts w:ascii="ＭＳ 明朝" w:eastAsia="ＭＳ 明朝" w:hAnsi="ＭＳ 明朝" w:cs="ＭＳ Ｐ明朝" w:hint="eastAsia"/>
        </w:rPr>
        <w:t>第９条　利用金融機関等は、国債整理基金国債買入についての日銀ネットの利用に関して、日本銀行が別に定める手数料を日本銀行に支払うものとする。</w:t>
      </w:r>
    </w:p>
    <w:p w:rsidR="007F4EB6" w:rsidRPr="001B31ED" w:rsidRDefault="007F4EB6" w:rsidP="007F4EB6">
      <w:pPr>
        <w:spacing w:before="120"/>
        <w:ind w:left="216" w:hanging="216"/>
        <w:rPr>
          <w:rFonts w:ascii="ＭＳ 明朝" w:eastAsia="ＭＳ 明朝" w:hAnsi="ＭＳ 明朝" w:cs="Times New Roman"/>
        </w:rPr>
      </w:pPr>
    </w:p>
    <w:p w:rsidR="007F4EB6" w:rsidRPr="001B31ED" w:rsidRDefault="007F4EB6" w:rsidP="007F4EB6">
      <w:pPr>
        <w:spacing w:before="120"/>
        <w:ind w:left="216" w:hanging="216"/>
        <w:rPr>
          <w:rFonts w:ascii="ＭＳ 明朝" w:eastAsia="ＭＳ 明朝" w:hAnsi="ＭＳ 明朝" w:cs="Times New Roman"/>
        </w:rPr>
      </w:pPr>
      <w:r w:rsidRPr="001B31ED">
        <w:rPr>
          <w:rFonts w:ascii="ＭＳ 明朝" w:eastAsia="ＭＳ 明朝" w:hAnsi="ＭＳ 明朝" w:cs="ＭＳ Ｐ明朝" w:hint="eastAsia"/>
        </w:rPr>
        <w:t>（日銀ネット障害時等の取扱い）</w:t>
      </w:r>
    </w:p>
    <w:p w:rsidR="007F4EB6" w:rsidRPr="001B31ED" w:rsidRDefault="007F4EB6" w:rsidP="007F4EB6">
      <w:pPr>
        <w:spacing w:before="120"/>
        <w:ind w:left="216" w:hanging="216"/>
        <w:rPr>
          <w:rFonts w:ascii="ＭＳ 明朝" w:eastAsia="ＭＳ 明朝" w:hAnsi="ＭＳ 明朝" w:cs="Times New Roman"/>
        </w:rPr>
      </w:pPr>
      <w:r w:rsidRPr="001B31ED">
        <w:rPr>
          <w:rFonts w:ascii="ＭＳ 明朝" w:eastAsia="ＭＳ 明朝" w:hAnsi="ＭＳ 明朝" w:cs="ＭＳ Ｐ明朝" w:hint="eastAsia"/>
        </w:rPr>
        <w:t>第１０条　日本銀行は、日銀ネットの障害その他の事情によりこの規則の規定による取扱いができないと認めた場合には、この規則の規定と異なる取扱いをし、または利用金融機関等にこの規則の規定と異なる取扱いをするよう指示することができる。</w:t>
      </w:r>
    </w:p>
    <w:p w:rsidR="007F4EB6" w:rsidRPr="001B31ED" w:rsidRDefault="007F4EB6" w:rsidP="007F4EB6">
      <w:pPr>
        <w:spacing w:before="120"/>
        <w:ind w:left="216" w:hanging="216"/>
        <w:rPr>
          <w:rFonts w:ascii="ＭＳ 明朝" w:eastAsia="ＭＳ 明朝" w:hAnsi="ＭＳ 明朝" w:cs="Times New Roman"/>
        </w:rPr>
      </w:pPr>
    </w:p>
    <w:p w:rsidR="007F4EB6" w:rsidRPr="001B31ED" w:rsidRDefault="007F4EB6" w:rsidP="007F4EB6">
      <w:pPr>
        <w:spacing w:before="120"/>
        <w:ind w:left="216" w:hanging="216"/>
        <w:rPr>
          <w:rFonts w:ascii="ＭＳ 明朝" w:eastAsia="ＭＳ 明朝" w:hAnsi="ＭＳ 明朝" w:cs="Times New Roman"/>
        </w:rPr>
      </w:pPr>
      <w:r w:rsidRPr="001B31ED">
        <w:rPr>
          <w:rFonts w:ascii="ＭＳ 明朝" w:eastAsia="ＭＳ 明朝" w:hAnsi="ＭＳ 明朝" w:cs="ＭＳ Ｐ明朝" w:hint="eastAsia"/>
        </w:rPr>
        <w:t>（細則の制定）</w:t>
      </w:r>
    </w:p>
    <w:p w:rsidR="007F4EB6" w:rsidRPr="001B31ED" w:rsidRDefault="007F4EB6" w:rsidP="007F4EB6">
      <w:pPr>
        <w:spacing w:before="120"/>
        <w:ind w:left="216" w:hanging="216"/>
        <w:rPr>
          <w:rFonts w:ascii="ＭＳ 明朝" w:eastAsia="ＭＳ 明朝" w:hAnsi="ＭＳ 明朝" w:cs="Times New Roman"/>
        </w:rPr>
      </w:pPr>
      <w:r w:rsidRPr="001B31ED">
        <w:rPr>
          <w:rFonts w:ascii="ＭＳ 明朝" w:eastAsia="ＭＳ 明朝" w:hAnsi="ＭＳ 明朝" w:cs="ＭＳ Ｐ明朝" w:hint="eastAsia"/>
        </w:rPr>
        <w:t>第１１条　この規則またはこの規則に基づく国債整理基金国債買入の契約を履行するための手続その他のその履行に関し必要な事項は、日本銀行が別に定める。</w:t>
      </w:r>
    </w:p>
    <w:p w:rsidR="007F4EB6" w:rsidRPr="001B31ED" w:rsidRDefault="007F4EB6" w:rsidP="007F4EB6">
      <w:pPr>
        <w:spacing w:before="120"/>
        <w:ind w:left="216" w:hanging="216"/>
        <w:rPr>
          <w:rFonts w:ascii="ＭＳ 明朝" w:eastAsia="ＭＳ 明朝" w:hAnsi="ＭＳ 明朝" w:cs="Times New Roman"/>
        </w:rPr>
      </w:pPr>
    </w:p>
    <w:p w:rsidR="007F4EB6" w:rsidRPr="001B31ED" w:rsidRDefault="007F4EB6" w:rsidP="007F4EB6">
      <w:pPr>
        <w:spacing w:before="120"/>
        <w:ind w:left="216" w:hanging="216"/>
        <w:rPr>
          <w:rFonts w:ascii="ＭＳ 明朝" w:eastAsia="ＭＳ 明朝" w:hAnsi="ＭＳ 明朝" w:cs="Times New Roman"/>
        </w:rPr>
      </w:pPr>
      <w:r w:rsidRPr="001B31ED">
        <w:rPr>
          <w:rFonts w:ascii="ＭＳ 明朝" w:eastAsia="ＭＳ 明朝" w:hAnsi="ＭＳ 明朝" w:cs="ＭＳ Ｐ明朝" w:hint="eastAsia"/>
        </w:rPr>
        <w:t>（所要事項の決定等）</w:t>
      </w:r>
    </w:p>
    <w:p w:rsidR="007F4EB6" w:rsidRPr="001B31ED" w:rsidRDefault="007F4EB6" w:rsidP="007F4EB6">
      <w:pPr>
        <w:spacing w:before="120"/>
        <w:ind w:left="216" w:hanging="216"/>
        <w:rPr>
          <w:rFonts w:ascii="ＭＳ 明朝" w:eastAsia="ＭＳ 明朝" w:hAnsi="ＭＳ 明朝" w:cs="Times New Roman"/>
        </w:rPr>
      </w:pPr>
      <w:r w:rsidRPr="001B31ED">
        <w:rPr>
          <w:rFonts w:ascii="ＭＳ 明朝" w:eastAsia="ＭＳ 明朝" w:hAnsi="ＭＳ 明朝" w:cs="ＭＳ Ｐ明朝" w:hint="eastAsia"/>
        </w:rPr>
        <w:t>第１２条　日本銀行は、国債整理基金国債買入の適切な運用を確保するため、この規則に定めるもののほか、所要の事項を定め、または所要の措置を講ずることができる。</w:t>
      </w:r>
    </w:p>
    <w:p w:rsidR="007F4EB6" w:rsidRPr="001B31ED" w:rsidRDefault="007F4EB6" w:rsidP="007F4EB6">
      <w:pPr>
        <w:spacing w:before="120"/>
        <w:ind w:left="216" w:hanging="216"/>
        <w:rPr>
          <w:rFonts w:ascii="ＭＳ 明朝" w:eastAsia="ＭＳ 明朝" w:hAnsi="ＭＳ 明朝" w:cs="Times New Roman"/>
        </w:rPr>
      </w:pPr>
    </w:p>
    <w:p w:rsidR="007F4EB6" w:rsidRPr="001B31ED" w:rsidRDefault="007F4EB6" w:rsidP="007F4EB6">
      <w:pPr>
        <w:spacing w:before="120"/>
        <w:ind w:left="216" w:hanging="216"/>
        <w:rPr>
          <w:rFonts w:ascii="ＭＳ 明朝" w:eastAsia="ＭＳ 明朝" w:hAnsi="ＭＳ 明朝" w:cs="Times New Roman"/>
        </w:rPr>
      </w:pPr>
      <w:r w:rsidRPr="001B31ED">
        <w:rPr>
          <w:rFonts w:ascii="ＭＳ 明朝" w:eastAsia="ＭＳ 明朝" w:hAnsi="ＭＳ 明朝" w:cs="ＭＳ Ｐ明朝" w:hint="eastAsia"/>
        </w:rPr>
        <w:t>（規則の改正）</w:t>
      </w:r>
    </w:p>
    <w:p w:rsidR="007F4EB6" w:rsidRPr="001B31ED" w:rsidRDefault="007F4EB6" w:rsidP="007F4EB6">
      <w:pPr>
        <w:spacing w:before="120"/>
        <w:ind w:left="216" w:hanging="216"/>
        <w:rPr>
          <w:rFonts w:ascii="ＭＳ 明朝" w:eastAsia="ＭＳ 明朝" w:hAnsi="ＭＳ 明朝" w:cs="Times New Roman"/>
        </w:rPr>
      </w:pPr>
      <w:r w:rsidRPr="001B31ED">
        <w:rPr>
          <w:rFonts w:ascii="ＭＳ 明朝" w:eastAsia="ＭＳ 明朝" w:hAnsi="ＭＳ 明朝" w:cs="ＭＳ Ｐ明朝" w:hint="eastAsia"/>
        </w:rPr>
        <w:t>第１３条　日本銀行は、国債整理基金国債買入の適切な運用を確保するため、必要と認める場合には、この規則を改正することができる。</w:t>
      </w:r>
    </w:p>
    <w:p w:rsidR="007F4EB6" w:rsidRPr="001B31ED" w:rsidRDefault="007F4EB6" w:rsidP="007F4EB6">
      <w:pPr>
        <w:ind w:left="215" w:hanging="215"/>
        <w:rPr>
          <w:rFonts w:ascii="ＭＳ 明朝" w:eastAsia="ＭＳ 明朝" w:hAnsi="ＭＳ 明朝" w:cs="Times New Roman"/>
        </w:rPr>
      </w:pPr>
    </w:p>
    <w:p w:rsidR="004D4E81" w:rsidRPr="001B31ED" w:rsidRDefault="004D4E81">
      <w:pPr>
        <w:spacing w:line="380" w:lineRule="exact"/>
        <w:jc w:val="right"/>
        <w:rPr>
          <w:rFonts w:ascii="ＭＳ 明朝" w:eastAsia="ＭＳ 明朝" w:hAnsi="ＭＳ 明朝" w:cs="Times New Roman"/>
        </w:rPr>
      </w:pPr>
    </w:p>
    <w:p w:rsidR="004D4E81" w:rsidRPr="001B31ED" w:rsidRDefault="004D4E81">
      <w:pPr>
        <w:spacing w:line="380" w:lineRule="exact"/>
        <w:rPr>
          <w:rFonts w:ascii="ＭＳ 明朝" w:eastAsia="ＭＳ 明朝" w:hAnsi="ＭＳ 明朝" w:cs="Times New Roman"/>
        </w:rPr>
      </w:pPr>
    </w:p>
    <w:p w:rsidR="004D4E81" w:rsidRPr="003B292C" w:rsidRDefault="004D4E81" w:rsidP="0096491D">
      <w:pPr>
        <w:jc w:val="right"/>
      </w:pPr>
    </w:p>
    <w:sectPr w:rsidR="004D4E81" w:rsidRPr="003B292C" w:rsidSect="00885B6A">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701" w:left="1701" w:header="567" w:footer="567" w:gutter="0"/>
      <w:cols w:space="425"/>
      <w:docGrid w:type="lines" w:linePitch="380"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0A1" w:rsidRDefault="00FB50C7">
      <w:r>
        <w:separator/>
      </w:r>
    </w:p>
  </w:endnote>
  <w:endnote w:type="continuationSeparator" w:id="0">
    <w:p w:rsidR="00E140A1" w:rsidRDefault="00F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1ED" w:rsidRDefault="001B31ED" w:rsidP="00885B6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B31ED" w:rsidRDefault="001B31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1ED" w:rsidRPr="001B31ED" w:rsidRDefault="001B31ED" w:rsidP="00885B6A">
    <w:pPr>
      <w:pStyle w:val="a5"/>
      <w:framePr w:wrap="around" w:vAnchor="text" w:hAnchor="margin" w:xAlign="center" w:y="1"/>
      <w:rPr>
        <w:rStyle w:val="a6"/>
        <w:rFonts w:ascii="ＭＳ 明朝" w:eastAsia="ＭＳ 明朝" w:hAnsi="ＭＳ 明朝"/>
        <w:sz w:val="21"/>
        <w:szCs w:val="21"/>
      </w:rPr>
    </w:pPr>
    <w:r w:rsidRPr="001B31ED">
      <w:rPr>
        <w:rStyle w:val="a6"/>
        <w:rFonts w:ascii="ＭＳ 明朝" w:eastAsia="ＭＳ 明朝" w:hAnsi="ＭＳ 明朝"/>
        <w:sz w:val="21"/>
        <w:szCs w:val="21"/>
      </w:rPr>
      <w:fldChar w:fldCharType="begin"/>
    </w:r>
    <w:r w:rsidRPr="001B31ED">
      <w:rPr>
        <w:rStyle w:val="a6"/>
        <w:rFonts w:ascii="ＭＳ 明朝" w:eastAsia="ＭＳ 明朝" w:hAnsi="ＭＳ 明朝"/>
        <w:sz w:val="21"/>
        <w:szCs w:val="21"/>
      </w:rPr>
      <w:instrText xml:space="preserve">PAGE  </w:instrText>
    </w:r>
    <w:r w:rsidRPr="001B31ED">
      <w:rPr>
        <w:rStyle w:val="a6"/>
        <w:rFonts w:ascii="ＭＳ 明朝" w:eastAsia="ＭＳ 明朝" w:hAnsi="ＭＳ 明朝"/>
        <w:sz w:val="21"/>
        <w:szCs w:val="21"/>
      </w:rPr>
      <w:fldChar w:fldCharType="separate"/>
    </w:r>
    <w:r w:rsidR="009520AD">
      <w:rPr>
        <w:rStyle w:val="a6"/>
        <w:rFonts w:ascii="ＭＳ 明朝" w:eastAsia="ＭＳ 明朝" w:hAnsi="ＭＳ 明朝"/>
        <w:noProof/>
        <w:sz w:val="21"/>
        <w:szCs w:val="21"/>
      </w:rPr>
      <w:t>1</w:t>
    </w:r>
    <w:r w:rsidRPr="001B31ED">
      <w:rPr>
        <w:rStyle w:val="a6"/>
        <w:rFonts w:ascii="ＭＳ 明朝" w:eastAsia="ＭＳ 明朝" w:hAnsi="ＭＳ 明朝"/>
        <w:sz w:val="21"/>
        <w:szCs w:val="21"/>
      </w:rPr>
      <w:fldChar w:fldCharType="end"/>
    </w:r>
  </w:p>
  <w:p w:rsidR="001B31ED" w:rsidRDefault="001B31E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34" w:rsidRDefault="00827C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0A1" w:rsidRDefault="00FB50C7">
      <w:r>
        <w:separator/>
      </w:r>
    </w:p>
  </w:footnote>
  <w:footnote w:type="continuationSeparator" w:id="0">
    <w:p w:rsidR="00E140A1" w:rsidRDefault="00FB5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34" w:rsidRDefault="00827C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34" w:rsidRDefault="00827C3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34" w:rsidRDefault="00827C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3A1549C"/>
    <w:multiLevelType w:val="hybridMultilevel"/>
    <w:tmpl w:val="8CDAF2BE"/>
    <w:lvl w:ilvl="0" w:tplc="CF8247F8">
      <w:numFmt w:val="bullet"/>
      <w:lvlText w:val="○"/>
      <w:lvlJc w:val="left"/>
      <w:pPr>
        <w:tabs>
          <w:tab w:val="num" w:pos="480"/>
        </w:tabs>
        <w:ind w:left="480" w:hanging="480"/>
      </w:pPr>
      <w:rPr>
        <w:rFonts w:ascii="ＭＳ Ｐ明朝" w:eastAsia="ＭＳ Ｐ明朝" w:hAnsi="ＭＳ Ｐ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0"/>
    <w:lvlOverride w:ilvl="0">
      <w:lvl w:ilvl="0">
        <w:numFmt w:val="bullet"/>
        <w:lvlText w:val="○"/>
        <w:legacy w:legacy="1" w:legacySpace="0" w:legacyIndent="480"/>
        <w:lvlJc w:val="left"/>
        <w:pPr>
          <w:ind w:left="480" w:hanging="480"/>
        </w:pPr>
        <w:rPr>
          <w:rFonts w:ascii="ＭＳ 明朝" w:eastAsia="ＭＳ 明朝" w:hAnsi="ＭＳ 明朝"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15"/>
  <w:drawingGridVerticalSpacing w:val="19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642"/>
    <w:rsid w:val="00020250"/>
    <w:rsid w:val="00024E0A"/>
    <w:rsid w:val="000463C3"/>
    <w:rsid w:val="0004671B"/>
    <w:rsid w:val="00050DAB"/>
    <w:rsid w:val="00062226"/>
    <w:rsid w:val="000C3FF2"/>
    <w:rsid w:val="000D2C1A"/>
    <w:rsid w:val="00105BDA"/>
    <w:rsid w:val="001416BB"/>
    <w:rsid w:val="00145D2D"/>
    <w:rsid w:val="0015244A"/>
    <w:rsid w:val="0016027B"/>
    <w:rsid w:val="00177C61"/>
    <w:rsid w:val="001B31ED"/>
    <w:rsid w:val="001B5134"/>
    <w:rsid w:val="001B791F"/>
    <w:rsid w:val="00201CAB"/>
    <w:rsid w:val="00223642"/>
    <w:rsid w:val="00270BD4"/>
    <w:rsid w:val="00290106"/>
    <w:rsid w:val="002C41A3"/>
    <w:rsid w:val="002C48A3"/>
    <w:rsid w:val="00357A0D"/>
    <w:rsid w:val="00374953"/>
    <w:rsid w:val="003B292C"/>
    <w:rsid w:val="003F5386"/>
    <w:rsid w:val="003F74C5"/>
    <w:rsid w:val="004D4E81"/>
    <w:rsid w:val="004E78CD"/>
    <w:rsid w:val="00513CA5"/>
    <w:rsid w:val="005750F2"/>
    <w:rsid w:val="0063590C"/>
    <w:rsid w:val="006A19B0"/>
    <w:rsid w:val="006D0A0B"/>
    <w:rsid w:val="00706F78"/>
    <w:rsid w:val="0071786C"/>
    <w:rsid w:val="00717AC0"/>
    <w:rsid w:val="007720B8"/>
    <w:rsid w:val="007F4EB6"/>
    <w:rsid w:val="00827C34"/>
    <w:rsid w:val="00885B6A"/>
    <w:rsid w:val="008871A1"/>
    <w:rsid w:val="008A005C"/>
    <w:rsid w:val="008B3E48"/>
    <w:rsid w:val="008D3467"/>
    <w:rsid w:val="008F58E0"/>
    <w:rsid w:val="00907006"/>
    <w:rsid w:val="009520AD"/>
    <w:rsid w:val="0096491D"/>
    <w:rsid w:val="00965B57"/>
    <w:rsid w:val="00973360"/>
    <w:rsid w:val="00987D64"/>
    <w:rsid w:val="009D2F95"/>
    <w:rsid w:val="00A91818"/>
    <w:rsid w:val="00A953E2"/>
    <w:rsid w:val="00AB1E67"/>
    <w:rsid w:val="00AC3B86"/>
    <w:rsid w:val="00AD61AC"/>
    <w:rsid w:val="00B15C60"/>
    <w:rsid w:val="00B44CCE"/>
    <w:rsid w:val="00B70D54"/>
    <w:rsid w:val="00B71522"/>
    <w:rsid w:val="00B75F5D"/>
    <w:rsid w:val="00BC5D02"/>
    <w:rsid w:val="00BC72FC"/>
    <w:rsid w:val="00C10EDF"/>
    <w:rsid w:val="00C22D54"/>
    <w:rsid w:val="00C27D98"/>
    <w:rsid w:val="00C560C9"/>
    <w:rsid w:val="00C65479"/>
    <w:rsid w:val="00C67E90"/>
    <w:rsid w:val="00CB0874"/>
    <w:rsid w:val="00D255D4"/>
    <w:rsid w:val="00D336F2"/>
    <w:rsid w:val="00D42A4D"/>
    <w:rsid w:val="00D6198C"/>
    <w:rsid w:val="00D92498"/>
    <w:rsid w:val="00E11B49"/>
    <w:rsid w:val="00E140A1"/>
    <w:rsid w:val="00E248D9"/>
    <w:rsid w:val="00E94905"/>
    <w:rsid w:val="00F44CF0"/>
    <w:rsid w:val="00F5737C"/>
    <w:rsid w:val="00FA18B9"/>
    <w:rsid w:val="00FB50C7"/>
    <w:rsid w:val="00FC3EB9"/>
    <w:rsid w:val="00FD2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pacing w:line="360" w:lineRule="atLeast"/>
      <w:textAlignment w:val="baseline"/>
    </w:pPr>
    <w:rPr>
      <w:rFonts w:ascii="ＭＳ 明朝" w:eastAsia="ＭＳ 明朝" w:cs="ＭＳ 明朝"/>
      <w:kern w:val="0"/>
      <w:sz w:val="25"/>
      <w:szCs w:val="25"/>
    </w:rPr>
  </w:style>
  <w:style w:type="paragraph" w:styleId="a4">
    <w:name w:val="Body Text Indent"/>
    <w:basedOn w:val="a"/>
    <w:pPr>
      <w:adjustRightInd w:val="0"/>
      <w:spacing w:line="360" w:lineRule="auto"/>
      <w:ind w:left="240" w:hanging="240"/>
      <w:textAlignment w:val="baseline"/>
    </w:pPr>
    <w:rPr>
      <w:rFonts w:ascii="ＭＳ 明朝" w:eastAsia="ＭＳ 明朝" w:cs="ＭＳ 明朝"/>
      <w:kern w:val="0"/>
      <w:sz w:val="25"/>
      <w:szCs w:val="25"/>
    </w:rPr>
  </w:style>
  <w:style w:type="paragraph" w:styleId="2">
    <w:name w:val="Body Text Indent 2"/>
    <w:basedOn w:val="a"/>
    <w:pPr>
      <w:adjustRightInd w:val="0"/>
      <w:spacing w:line="360" w:lineRule="auto"/>
      <w:ind w:left="250" w:hanging="250"/>
      <w:textAlignment w:val="baseline"/>
    </w:pPr>
    <w:rPr>
      <w:rFonts w:ascii="Mincho" w:eastAsia="Mincho" w:cs="Mincho"/>
      <w:kern w:val="0"/>
      <w:sz w:val="25"/>
      <w:szCs w:val="25"/>
    </w:rPr>
  </w:style>
  <w:style w:type="paragraph" w:styleId="3">
    <w:name w:val="Body Text Indent 3"/>
    <w:basedOn w:val="a"/>
    <w:pPr>
      <w:adjustRightInd w:val="0"/>
      <w:snapToGrid w:val="0"/>
      <w:spacing w:line="360" w:lineRule="auto"/>
      <w:ind w:left="490" w:hanging="490"/>
      <w:textAlignment w:val="baseline"/>
    </w:pPr>
    <w:rPr>
      <w:rFonts w:ascii="Mincho" w:eastAsia="Mincho" w:cs="Mincho"/>
      <w:kern w:val="0"/>
      <w:sz w:val="25"/>
      <w:szCs w:val="25"/>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8A005C"/>
    <w:rPr>
      <w:rFonts w:ascii="Arial" w:eastAsia="ＭＳ ゴシック" w:hAnsi="Arial" w:cs="Arial"/>
      <w:sz w:val="18"/>
      <w:szCs w:val="18"/>
    </w:rPr>
  </w:style>
  <w:style w:type="paragraph" w:styleId="a8">
    <w:name w:val="Body Text"/>
    <w:basedOn w:val="a"/>
    <w:rsid w:val="00C67E90"/>
  </w:style>
  <w:style w:type="paragraph" w:customStyle="1" w:styleId="21">
    <w:name w:val="本文 21"/>
    <w:basedOn w:val="a"/>
    <w:rsid w:val="00C67E90"/>
    <w:pPr>
      <w:adjustRightInd w:val="0"/>
      <w:spacing w:line="240" w:lineRule="exact"/>
      <w:ind w:right="-1650"/>
      <w:textAlignment w:val="baseline"/>
    </w:pPr>
    <w:rPr>
      <w:rFonts w:ascii="ＭＳ 明朝" w:eastAsia="ＭＳ 明朝" w:hAnsi="ＭＳ 明朝"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2022-08-09T03:27:00Z</dcterms:created>
  <dcterms:modified xsi:type="dcterms:W3CDTF">2022-10-14T05:46:00Z</dcterms:modified>
</cp:coreProperties>
</file>