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85" w:rsidRDefault="00703A85" w:rsidP="00703A85">
      <w:pPr>
        <w:autoSpaceDE w:val="0"/>
        <w:autoSpaceDN w:val="0"/>
        <w:textAlignment w:val="center"/>
        <w:rPr>
          <w:rFonts w:ascii="ＭＳ 明朝"/>
          <w:kern w:val="0"/>
          <w:sz w:val="28"/>
        </w:rPr>
      </w:pPr>
    </w:p>
    <w:p w:rsidR="007F4EB6" w:rsidRPr="007F4EB6" w:rsidRDefault="007F4EB6" w:rsidP="007F4EB6">
      <w:pPr>
        <w:spacing w:line="380" w:lineRule="exact"/>
        <w:ind w:firstLine="966"/>
        <w:rPr>
          <w:rFonts w:ascii="ＭＳ Ｐ明朝" w:cs="Times New Roman"/>
        </w:rPr>
      </w:pPr>
    </w:p>
    <w:p w:rsidR="007F4EB6" w:rsidRPr="00703A85" w:rsidRDefault="00EB5FC1" w:rsidP="00EB5FC1">
      <w:pPr>
        <w:spacing w:line="380" w:lineRule="exact"/>
        <w:ind w:left="1066" w:right="1066"/>
        <w:rPr>
          <w:rFonts w:ascii="ＭＳ ゴシック" w:eastAsia="ＭＳ ゴシック" w:hAnsi="ＭＳ ゴシック" w:cs="ＭＳ Ｐ明朝"/>
          <w:sz w:val="28"/>
          <w:szCs w:val="28"/>
        </w:rPr>
      </w:pPr>
      <w:r>
        <w:rPr>
          <w:rFonts w:ascii="ＭＳ ゴシック" w:eastAsia="ＭＳ ゴシック" w:hAnsi="ＭＳ ゴシック" w:cs="ＭＳ Ｐ明朝" w:hint="eastAsia"/>
          <w:sz w:val="28"/>
          <w:szCs w:val="28"/>
        </w:rPr>
        <w:t>国庫</w:t>
      </w:r>
      <w:r w:rsidR="007F4EB6" w:rsidRPr="00703A85">
        <w:rPr>
          <w:rFonts w:ascii="ＭＳ ゴシック" w:eastAsia="ＭＳ ゴシック" w:hAnsi="ＭＳ ゴシック" w:cs="ＭＳ Ｐ明朝" w:hint="eastAsia"/>
          <w:sz w:val="28"/>
          <w:szCs w:val="28"/>
        </w:rPr>
        <w:t>短期</w:t>
      </w:r>
      <w:r>
        <w:rPr>
          <w:rFonts w:ascii="ＭＳ ゴシック" w:eastAsia="ＭＳ ゴシック" w:hAnsi="ＭＳ ゴシック" w:cs="ＭＳ Ｐ明朝" w:hint="eastAsia"/>
          <w:sz w:val="28"/>
          <w:szCs w:val="28"/>
        </w:rPr>
        <w:t>証券</w:t>
      </w:r>
      <w:r w:rsidR="007F4EB6" w:rsidRPr="00703A85">
        <w:rPr>
          <w:rFonts w:ascii="ＭＳ ゴシック" w:eastAsia="ＭＳ ゴシック" w:hAnsi="ＭＳ ゴシック" w:cs="ＭＳ Ｐ明朝" w:hint="eastAsia"/>
          <w:sz w:val="28"/>
          <w:szCs w:val="28"/>
        </w:rPr>
        <w:t>売買についての日本銀行金融ネットワークシステムの利用に関する規則</w:t>
      </w:r>
    </w:p>
    <w:p w:rsidR="007F4EB6" w:rsidRPr="007F4EB6" w:rsidRDefault="007F4EB6" w:rsidP="007F4EB6">
      <w:pPr>
        <w:spacing w:line="380" w:lineRule="exact"/>
        <w:ind w:left="1497" w:hanging="1486"/>
        <w:rPr>
          <w:rFonts w:ascii="ＭＳ Ｐ明朝" w:cs="Times New Roman"/>
          <w:kern w:val="0"/>
          <w:sz w:val="25"/>
          <w:szCs w:val="25"/>
          <w:shd w:val="clear" w:color="auto" w:fill="00FFFF"/>
        </w:rPr>
      </w:pPr>
    </w:p>
    <w:p w:rsidR="00EB5FC1" w:rsidRPr="007F4EB6" w:rsidRDefault="00EB5FC1" w:rsidP="007F4EB6">
      <w:pPr>
        <w:spacing w:line="380" w:lineRule="exact"/>
        <w:ind w:left="1497" w:hanging="1486"/>
        <w:rPr>
          <w:rFonts w:ascii="ＭＳ Ｐ明朝" w:cs="Times New Roman"/>
          <w:kern w:val="0"/>
        </w:rPr>
      </w:pPr>
    </w:p>
    <w:p w:rsidR="007F4EB6" w:rsidRPr="00703A85" w:rsidRDefault="007F4EB6" w:rsidP="007F4EB6">
      <w:pPr>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（趣旨）</w:t>
      </w:r>
    </w:p>
    <w:p w:rsidR="007F4EB6" w:rsidRPr="00703A85"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第１条　この規則は、「日本銀行が行う</w:t>
      </w:r>
      <w:r w:rsidR="00EB5FC1">
        <w:rPr>
          <w:rFonts w:ascii="ＭＳ 明朝" w:eastAsia="ＭＳ 明朝" w:hAnsi="ＭＳ 明朝" w:cs="ＭＳ Ｐ明朝" w:hint="eastAsia"/>
          <w:kern w:val="0"/>
        </w:rPr>
        <w:t>国庫</w:t>
      </w:r>
      <w:r w:rsidRPr="00703A85">
        <w:rPr>
          <w:rFonts w:ascii="ＭＳ 明朝" w:eastAsia="ＭＳ 明朝" w:hAnsi="ＭＳ 明朝" w:cs="ＭＳ Ｐ明朝" w:hint="eastAsia"/>
          <w:kern w:val="0"/>
        </w:rPr>
        <w:t>短期</w:t>
      </w:r>
      <w:r w:rsidR="00EB5FC1">
        <w:rPr>
          <w:rFonts w:ascii="ＭＳ 明朝" w:eastAsia="ＭＳ 明朝" w:hAnsi="ＭＳ 明朝" w:cs="ＭＳ Ｐ明朝" w:hint="eastAsia"/>
          <w:kern w:val="0"/>
        </w:rPr>
        <w:t>証券</w:t>
      </w:r>
      <w:r w:rsidRPr="00703A85">
        <w:rPr>
          <w:rFonts w:ascii="ＭＳ 明朝" w:eastAsia="ＭＳ 明朝" w:hAnsi="ＭＳ 明朝" w:cs="ＭＳ Ｐ明朝" w:hint="eastAsia"/>
          <w:kern w:val="0"/>
        </w:rPr>
        <w:t>売買に関する基本約定」（以下「基本約定」という。）に基づく</w:t>
      </w:r>
      <w:r w:rsidR="00EB5FC1">
        <w:rPr>
          <w:rFonts w:ascii="ＭＳ 明朝" w:eastAsia="ＭＳ 明朝" w:hAnsi="ＭＳ 明朝" w:cs="ＭＳ Ｐ明朝" w:hint="eastAsia"/>
          <w:kern w:val="0"/>
        </w:rPr>
        <w:t>国庫</w:t>
      </w:r>
      <w:r w:rsidRPr="00703A85">
        <w:rPr>
          <w:rFonts w:ascii="ＭＳ 明朝" w:eastAsia="ＭＳ 明朝" w:hAnsi="ＭＳ 明朝" w:cs="ＭＳ Ｐ明朝" w:hint="eastAsia"/>
          <w:kern w:val="0"/>
        </w:rPr>
        <w:t>短期</w:t>
      </w:r>
      <w:r w:rsidR="00EB5FC1">
        <w:rPr>
          <w:rFonts w:ascii="ＭＳ 明朝" w:eastAsia="ＭＳ 明朝" w:hAnsi="ＭＳ 明朝" w:cs="ＭＳ Ｐ明朝" w:hint="eastAsia"/>
          <w:kern w:val="0"/>
        </w:rPr>
        <w:t>証券</w:t>
      </w:r>
      <w:r w:rsidRPr="00703A85">
        <w:rPr>
          <w:rFonts w:ascii="ＭＳ 明朝" w:eastAsia="ＭＳ 明朝" w:hAnsi="ＭＳ 明朝" w:cs="ＭＳ Ｐ明朝" w:hint="eastAsia"/>
          <w:kern w:val="0"/>
        </w:rPr>
        <w:t>売買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rsidR="007F4EB6" w:rsidRPr="00703A85" w:rsidRDefault="007F4EB6" w:rsidP="007F4EB6">
      <w:pPr>
        <w:spacing w:before="120" w:line="380" w:lineRule="exact"/>
        <w:ind w:left="240" w:hanging="240"/>
        <w:rPr>
          <w:rFonts w:ascii="ＭＳ 明朝" w:eastAsia="ＭＳ 明朝" w:hAnsi="ＭＳ 明朝" w:cs="Times New Roman"/>
        </w:rPr>
      </w:pPr>
    </w:p>
    <w:p w:rsidR="007F4EB6" w:rsidRPr="00703A85" w:rsidRDefault="007F4EB6" w:rsidP="007F4EB6">
      <w:pPr>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（用語の定義）</w:t>
      </w:r>
    </w:p>
    <w:p w:rsidR="007F4EB6" w:rsidRPr="00703A85"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第２条　この規則において「利用金融機関等」とは、日本銀行が</w:t>
      </w:r>
      <w:r w:rsidR="00EB5FC1">
        <w:rPr>
          <w:rFonts w:ascii="ＭＳ 明朝" w:eastAsia="ＭＳ 明朝" w:hAnsi="ＭＳ 明朝" w:cs="ＭＳ Ｐ明朝" w:hint="eastAsia"/>
          <w:kern w:val="0"/>
        </w:rPr>
        <w:t>国庫</w:t>
      </w:r>
      <w:r w:rsidRPr="00703A85">
        <w:rPr>
          <w:rFonts w:ascii="ＭＳ 明朝" w:eastAsia="ＭＳ 明朝" w:hAnsi="ＭＳ 明朝" w:cs="ＭＳ Ｐ明朝" w:hint="eastAsia"/>
          <w:kern w:val="0"/>
        </w:rPr>
        <w:t>短期</w:t>
      </w:r>
      <w:r w:rsidR="00EB5FC1">
        <w:rPr>
          <w:rFonts w:ascii="ＭＳ 明朝" w:eastAsia="ＭＳ 明朝" w:hAnsi="ＭＳ 明朝" w:cs="ＭＳ Ｐ明朝" w:hint="eastAsia"/>
          <w:kern w:val="0"/>
        </w:rPr>
        <w:t>証券</w:t>
      </w:r>
      <w:r w:rsidRPr="00703A85">
        <w:rPr>
          <w:rFonts w:ascii="ＭＳ 明朝" w:eastAsia="ＭＳ 明朝" w:hAnsi="ＭＳ 明朝" w:cs="ＭＳ Ｐ明朝" w:hint="eastAsia"/>
          <w:kern w:val="0"/>
        </w:rPr>
        <w:t>売買における売買対象先として選定した金融機関等をいう。</w:t>
      </w:r>
    </w:p>
    <w:p w:rsidR="007F4EB6" w:rsidRPr="00703A85"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２．この規則において「利用先」とは、利用金融機関等の営業所等であって、</w:t>
      </w:r>
      <w:r w:rsidR="00EB5FC1">
        <w:rPr>
          <w:rFonts w:ascii="ＭＳ 明朝" w:eastAsia="ＭＳ 明朝" w:hAnsi="ＭＳ 明朝" w:cs="ＭＳ Ｐ明朝" w:hint="eastAsia"/>
          <w:kern w:val="0"/>
        </w:rPr>
        <w:t>国庫</w:t>
      </w:r>
      <w:r w:rsidRPr="00703A85">
        <w:rPr>
          <w:rFonts w:ascii="ＭＳ 明朝" w:eastAsia="ＭＳ 明朝" w:hAnsi="ＭＳ 明朝" w:cs="ＭＳ Ｐ明朝" w:hint="eastAsia"/>
          <w:kern w:val="0"/>
        </w:rPr>
        <w:t>短期</w:t>
      </w:r>
      <w:r w:rsidR="00EB5FC1">
        <w:rPr>
          <w:rFonts w:ascii="ＭＳ 明朝" w:eastAsia="ＭＳ 明朝" w:hAnsi="ＭＳ 明朝" w:cs="ＭＳ Ｐ明朝" w:hint="eastAsia"/>
          <w:kern w:val="0"/>
        </w:rPr>
        <w:t>証券</w:t>
      </w:r>
      <w:r w:rsidRPr="00703A85">
        <w:rPr>
          <w:rFonts w:ascii="ＭＳ 明朝" w:eastAsia="ＭＳ 明朝" w:hAnsi="ＭＳ 明朝" w:cs="ＭＳ Ｐ明朝" w:hint="eastAsia"/>
          <w:kern w:val="0"/>
        </w:rPr>
        <w:t>売買についての日銀ネットの利用を認められたものをいう。</w:t>
      </w:r>
    </w:p>
    <w:p w:rsidR="007F4EB6" w:rsidRPr="00703A85" w:rsidRDefault="007F4EB6" w:rsidP="007F4EB6">
      <w:pPr>
        <w:spacing w:before="120" w:line="380" w:lineRule="exact"/>
        <w:ind w:left="238" w:hanging="238"/>
        <w:rPr>
          <w:rFonts w:ascii="ＭＳ 明朝" w:eastAsia="ＭＳ 明朝" w:hAnsi="ＭＳ 明朝" w:cs="Times New Roman"/>
        </w:rPr>
      </w:pPr>
      <w:r w:rsidRPr="00703A85">
        <w:rPr>
          <w:rFonts w:ascii="ＭＳ 明朝" w:eastAsia="ＭＳ 明朝" w:hAnsi="ＭＳ 明朝" w:cs="ＭＳ Ｐ明朝" w:hint="eastAsia"/>
        </w:rPr>
        <w:t>３．前２項に掲げるもののほか、この規則において使用する用語の定義は、基本約定に定めるところによる。</w:t>
      </w:r>
    </w:p>
    <w:p w:rsidR="007F4EB6" w:rsidRPr="00703A85" w:rsidRDefault="007F4EB6" w:rsidP="007F4EB6">
      <w:pPr>
        <w:spacing w:before="120" w:line="380" w:lineRule="exact"/>
        <w:ind w:left="240" w:hanging="240"/>
        <w:rPr>
          <w:rFonts w:ascii="ＭＳ 明朝" w:eastAsia="ＭＳ 明朝" w:hAnsi="ＭＳ 明朝" w:cs="Times New Roman"/>
        </w:rPr>
      </w:pPr>
    </w:p>
    <w:p w:rsidR="007F4EB6" w:rsidRPr="00703A85" w:rsidRDefault="007F4EB6" w:rsidP="007F4EB6">
      <w:pPr>
        <w:snapToGrid w:val="0"/>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（売買内容の確認における日銀ネットの利用）</w:t>
      </w:r>
    </w:p>
    <w:p w:rsidR="007F4EB6" w:rsidRPr="00703A85" w:rsidRDefault="007F4EB6" w:rsidP="007F4EB6">
      <w:pPr>
        <w:snapToGrid w:val="0"/>
        <w:spacing w:before="120" w:line="380" w:lineRule="exact"/>
        <w:ind w:left="215" w:hanging="215"/>
        <w:rPr>
          <w:rFonts w:ascii="ＭＳ 明朝" w:eastAsia="ＭＳ 明朝" w:hAnsi="ＭＳ 明朝" w:cs="Times New Roman"/>
        </w:rPr>
      </w:pPr>
      <w:r w:rsidRPr="00703A85">
        <w:rPr>
          <w:rFonts w:ascii="ＭＳ 明朝" w:eastAsia="ＭＳ 明朝" w:hAnsi="ＭＳ 明朝" w:cs="ＭＳ Ｐ明朝" w:hint="eastAsia"/>
        </w:rPr>
        <w:t>第３条</w:t>
      </w:r>
      <w:r w:rsidRPr="00703A85">
        <w:rPr>
          <w:rFonts w:ascii="ＭＳ 明朝" w:eastAsia="ＭＳ 明朝" w:hAnsi="ＭＳ 明朝" w:cs="ＭＳ Ｐ明朝"/>
        </w:rPr>
        <w:t xml:space="preserve">  </w:t>
      </w:r>
      <w:r w:rsidRPr="00703A85">
        <w:rPr>
          <w:rFonts w:ascii="ＭＳ 明朝" w:eastAsia="ＭＳ 明朝" w:hAnsi="ＭＳ 明朝" w:cs="ＭＳ Ｐ明朝" w:hint="eastAsia"/>
        </w:rPr>
        <w:t>売買人である利用先は、日本銀行に対し、基本約定第５条の２に規定する日本銀行から通知を受けた通知の内容に異議がない旨を日銀ネットにより通知する。</w:t>
      </w:r>
    </w:p>
    <w:p w:rsidR="007F4EB6" w:rsidRPr="00703A85" w:rsidRDefault="007F4EB6" w:rsidP="007F4EB6">
      <w:pPr>
        <w:snapToGrid w:val="0"/>
        <w:spacing w:before="120" w:line="380" w:lineRule="exact"/>
        <w:rPr>
          <w:rFonts w:ascii="ＭＳ 明朝" w:eastAsia="ＭＳ 明朝" w:hAnsi="ＭＳ 明朝" w:cs="Times New Roman"/>
        </w:rPr>
      </w:pPr>
    </w:p>
    <w:p w:rsidR="007F4EB6" w:rsidRPr="00703A85" w:rsidRDefault="007F4EB6" w:rsidP="007F4EB6">
      <w:pPr>
        <w:snapToGrid w:val="0"/>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（売買の実行における日銀ネットの利用）</w:t>
      </w:r>
    </w:p>
    <w:p w:rsidR="007F4EB6" w:rsidRPr="00703A85" w:rsidRDefault="007F4EB6" w:rsidP="007F4EB6">
      <w:pPr>
        <w:spacing w:before="120" w:line="380" w:lineRule="exact"/>
        <w:ind w:left="238" w:hanging="238"/>
        <w:rPr>
          <w:rFonts w:ascii="ＭＳ 明朝" w:eastAsia="ＭＳ 明朝" w:hAnsi="ＭＳ 明朝" w:cs="Times New Roman"/>
        </w:rPr>
      </w:pPr>
      <w:r w:rsidRPr="00703A85">
        <w:rPr>
          <w:rFonts w:ascii="ＭＳ 明朝" w:eastAsia="ＭＳ 明朝" w:hAnsi="ＭＳ 明朝" w:cs="ＭＳ Ｐ明朝" w:hint="eastAsia"/>
        </w:rPr>
        <w:t>第４条　売渡人である利用先は、基本約定第６条第</w:t>
      </w:r>
      <w:bookmarkStart w:id="0" w:name="_GoBack"/>
      <w:bookmarkEnd w:id="0"/>
      <w:r w:rsidRPr="00703A85">
        <w:rPr>
          <w:rFonts w:ascii="ＭＳ 明朝" w:eastAsia="ＭＳ 明朝" w:hAnsi="ＭＳ 明朝" w:cs="ＭＳ Ｐ明朝" w:hint="eastAsia"/>
        </w:rPr>
        <w:t>１項の規定により</w:t>
      </w:r>
      <w:r w:rsidR="00EB5FC1">
        <w:rPr>
          <w:rFonts w:ascii="ＭＳ 明朝" w:eastAsia="ＭＳ 明朝" w:hAnsi="ＭＳ 明朝" w:cs="ＭＳ Ｐ明朝" w:hint="eastAsia"/>
        </w:rPr>
        <w:t>国庫</w:t>
      </w:r>
      <w:r w:rsidRPr="00703A85">
        <w:rPr>
          <w:rFonts w:ascii="ＭＳ 明朝" w:eastAsia="ＭＳ 明朝" w:hAnsi="ＭＳ 明朝" w:cs="ＭＳ Ｐ明朝" w:hint="eastAsia"/>
        </w:rPr>
        <w:t>短期</w:t>
      </w:r>
      <w:r w:rsidR="00EB5FC1">
        <w:rPr>
          <w:rFonts w:ascii="ＭＳ 明朝" w:eastAsia="ＭＳ 明朝" w:hAnsi="ＭＳ 明朝" w:cs="ＭＳ Ｐ明朝" w:hint="eastAsia"/>
        </w:rPr>
        <w:t>証券</w:t>
      </w:r>
      <w:r w:rsidRPr="00703A85">
        <w:rPr>
          <w:rFonts w:ascii="ＭＳ 明朝" w:eastAsia="ＭＳ 明朝" w:hAnsi="ＭＳ 明朝" w:cs="ＭＳ Ｐ明朝" w:hint="eastAsia"/>
        </w:rPr>
        <w:t>を日本銀行に引渡す場合には、当該</w:t>
      </w:r>
      <w:r w:rsidR="00EB5FC1">
        <w:rPr>
          <w:rFonts w:ascii="ＭＳ 明朝" w:eastAsia="ＭＳ 明朝" w:hAnsi="ＭＳ 明朝" w:cs="ＭＳ Ｐ明朝" w:hint="eastAsia"/>
        </w:rPr>
        <w:t>国庫</w:t>
      </w:r>
      <w:r w:rsidRPr="00703A85">
        <w:rPr>
          <w:rFonts w:ascii="ＭＳ 明朝" w:eastAsia="ＭＳ 明朝" w:hAnsi="ＭＳ 明朝" w:cs="ＭＳ Ｐ明朝" w:hint="eastAsia"/>
        </w:rPr>
        <w:t>短期</w:t>
      </w:r>
      <w:r w:rsidR="00EB5FC1">
        <w:rPr>
          <w:rFonts w:ascii="ＭＳ 明朝" w:eastAsia="ＭＳ 明朝" w:hAnsi="ＭＳ 明朝" w:cs="ＭＳ Ｐ明朝" w:hint="eastAsia"/>
        </w:rPr>
        <w:t>証券</w:t>
      </w:r>
      <w:r w:rsidRPr="00703A85">
        <w:rPr>
          <w:rFonts w:ascii="ＭＳ 明朝" w:eastAsia="ＭＳ 明朝" w:hAnsi="ＭＳ 明朝" w:cs="ＭＳ Ｐ明朝" w:hint="eastAsia"/>
        </w:rPr>
        <w:t>について、日銀ネット</w:t>
      </w:r>
      <w:r w:rsidRPr="00703A85">
        <w:rPr>
          <w:rFonts w:ascii="ＭＳ 明朝" w:eastAsia="ＭＳ 明朝" w:hAnsi="ＭＳ 明朝" w:cs="ＭＳ Ｐ明朝" w:hint="eastAsia"/>
        </w:rPr>
        <w:lastRenderedPageBreak/>
        <w:t>を利用して、国債振替決済制度における日本銀行名義の参加者口座への振替の申請を行うものとする。</w:t>
      </w:r>
    </w:p>
    <w:p w:rsidR="007F4EB6" w:rsidRPr="00703A85"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２．買受人である利用先は、基本約定第７条第１項の規定により日本銀行に売却代金を支払う場合には、その代金について、日銀ネットを利用して、自己の当座勘定を引落し、これにより支払を行うことを依頼するものとする。</w:t>
      </w:r>
    </w:p>
    <w:p w:rsidR="007F4EB6" w:rsidRPr="00703A85"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３．第１項の国債振替決済制度における日本銀行名義の参加者口座への振替の申請および前項の自己の当座勘定の引落による支払の依頼は、取消すことができない。</w:t>
      </w:r>
    </w:p>
    <w:p w:rsidR="007F4EB6" w:rsidRPr="00703A85" w:rsidRDefault="007F4EB6" w:rsidP="007F4EB6">
      <w:pPr>
        <w:snapToGrid w:val="0"/>
        <w:spacing w:before="120" w:line="380" w:lineRule="exact"/>
        <w:rPr>
          <w:rFonts w:ascii="ＭＳ 明朝" w:eastAsia="ＭＳ 明朝" w:hAnsi="ＭＳ 明朝" w:cs="Times New Roman"/>
        </w:rPr>
      </w:pPr>
    </w:p>
    <w:p w:rsidR="007F4EB6" w:rsidRPr="00703A85" w:rsidRDefault="007F4EB6" w:rsidP="007F4EB6">
      <w:pPr>
        <w:adjustRightInd w:val="0"/>
        <w:snapToGrid w:val="0"/>
        <w:spacing w:before="120" w:line="380" w:lineRule="exact"/>
        <w:ind w:left="490" w:hanging="490"/>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（事務処理の通知）</w:t>
      </w:r>
    </w:p>
    <w:p w:rsidR="007F4EB6" w:rsidRPr="00703A85" w:rsidRDefault="007F4EB6" w:rsidP="007F4EB6">
      <w:pPr>
        <w:adjustRightInd w:val="0"/>
        <w:snapToGrid w:val="0"/>
        <w:spacing w:before="120" w:line="380" w:lineRule="exact"/>
        <w:ind w:left="240" w:hanging="240"/>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第５条</w:t>
      </w:r>
      <w:r w:rsidRPr="00703A85">
        <w:rPr>
          <w:rFonts w:ascii="ＭＳ 明朝" w:eastAsia="ＭＳ 明朝" w:hAnsi="ＭＳ 明朝" w:cs="ＭＳ Ｐ明朝"/>
          <w:kern w:val="0"/>
        </w:rPr>
        <w:t xml:space="preserve">  </w:t>
      </w:r>
      <w:r w:rsidRPr="00703A85">
        <w:rPr>
          <w:rFonts w:ascii="ＭＳ 明朝" w:eastAsia="ＭＳ 明朝" w:hAnsi="ＭＳ 明朝" w:cs="ＭＳ Ｐ明朝" w:hint="eastAsia"/>
          <w:kern w:val="0"/>
        </w:rPr>
        <w:t>日本銀行は、売買の実行を行った場合その他の場合において、日本銀行が別に定めるときは、利用先に対し、日銀ネットによりその旨を通知する。</w:t>
      </w:r>
    </w:p>
    <w:p w:rsidR="007F4EB6" w:rsidRPr="00703A85" w:rsidRDefault="007F4EB6" w:rsidP="007F4EB6">
      <w:pPr>
        <w:adjustRightInd w:val="0"/>
        <w:snapToGrid w:val="0"/>
        <w:spacing w:before="120" w:line="380" w:lineRule="exact"/>
        <w:ind w:left="490" w:hanging="490"/>
        <w:textAlignment w:val="baseline"/>
        <w:rPr>
          <w:rFonts w:ascii="ＭＳ 明朝" w:eastAsia="ＭＳ 明朝" w:hAnsi="ＭＳ 明朝" w:cs="Times New Roman"/>
          <w:kern w:val="0"/>
        </w:rPr>
      </w:pPr>
    </w:p>
    <w:p w:rsidR="007F4EB6" w:rsidRPr="00703A85" w:rsidRDefault="007F4EB6" w:rsidP="007F4EB6">
      <w:pPr>
        <w:snapToGrid w:val="0"/>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（照会）</w:t>
      </w:r>
    </w:p>
    <w:p w:rsidR="007F4EB6" w:rsidRPr="00703A85" w:rsidRDefault="007F4EB6" w:rsidP="007F4EB6">
      <w:pPr>
        <w:adjustRightInd w:val="0"/>
        <w:snapToGrid w:val="0"/>
        <w:spacing w:before="120" w:line="380" w:lineRule="exact"/>
        <w:ind w:left="250" w:hanging="250"/>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第６条　利用先は、</w:t>
      </w:r>
      <w:r w:rsidR="00EB5FC1">
        <w:rPr>
          <w:rFonts w:ascii="ＭＳ 明朝" w:eastAsia="ＭＳ 明朝" w:hAnsi="ＭＳ 明朝" w:cs="ＭＳ Ｐ明朝" w:hint="eastAsia"/>
          <w:kern w:val="0"/>
        </w:rPr>
        <w:t>国庫</w:t>
      </w:r>
      <w:r w:rsidRPr="00703A85">
        <w:rPr>
          <w:rFonts w:ascii="ＭＳ 明朝" w:eastAsia="ＭＳ 明朝" w:hAnsi="ＭＳ 明朝" w:cs="ＭＳ Ｐ明朝" w:hint="eastAsia"/>
          <w:kern w:val="0"/>
        </w:rPr>
        <w:t>短期</w:t>
      </w:r>
      <w:r w:rsidR="00EB5FC1">
        <w:rPr>
          <w:rFonts w:ascii="ＭＳ 明朝" w:eastAsia="ＭＳ 明朝" w:hAnsi="ＭＳ 明朝" w:cs="ＭＳ Ｐ明朝" w:hint="eastAsia"/>
          <w:kern w:val="0"/>
        </w:rPr>
        <w:t>証券</w:t>
      </w:r>
      <w:r w:rsidRPr="00703A85">
        <w:rPr>
          <w:rFonts w:ascii="ＭＳ 明朝" w:eastAsia="ＭＳ 明朝" w:hAnsi="ＭＳ 明朝" w:cs="ＭＳ Ｐ明朝" w:hint="eastAsia"/>
          <w:kern w:val="0"/>
        </w:rPr>
        <w:t>売買に関する事項のうち日本銀行が別に定めるものについては、日銀ネットを利用して照会を行うことができる。</w:t>
      </w:r>
    </w:p>
    <w:p w:rsidR="007F4EB6" w:rsidRPr="00703A85" w:rsidRDefault="007F4EB6" w:rsidP="007F4EB6">
      <w:pPr>
        <w:snapToGrid w:val="0"/>
        <w:spacing w:before="120" w:line="380" w:lineRule="exact"/>
        <w:rPr>
          <w:rFonts w:ascii="ＭＳ 明朝" w:eastAsia="ＭＳ 明朝" w:hAnsi="ＭＳ 明朝" w:cs="Times New Roman"/>
        </w:rPr>
      </w:pPr>
    </w:p>
    <w:p w:rsidR="007F4EB6" w:rsidRPr="00703A85" w:rsidRDefault="007F4EB6" w:rsidP="007F4EB6">
      <w:pPr>
        <w:snapToGrid w:val="0"/>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（手数料の支払義務）</w:t>
      </w:r>
    </w:p>
    <w:p w:rsidR="007F4EB6" w:rsidRPr="00703A85" w:rsidRDefault="007F4EB6" w:rsidP="007F4EB6">
      <w:pPr>
        <w:adjustRightInd w:val="0"/>
        <w:snapToGrid w:val="0"/>
        <w:spacing w:before="120" w:line="380" w:lineRule="exact"/>
        <w:ind w:left="250" w:hanging="250"/>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第７条　利用金融機関等は、</w:t>
      </w:r>
      <w:r w:rsidR="00EB5FC1">
        <w:rPr>
          <w:rFonts w:ascii="ＭＳ 明朝" w:eastAsia="ＭＳ 明朝" w:hAnsi="ＭＳ 明朝" w:cs="ＭＳ Ｐ明朝" w:hint="eastAsia"/>
          <w:kern w:val="0"/>
        </w:rPr>
        <w:t>国庫</w:t>
      </w:r>
      <w:r w:rsidRPr="00703A85">
        <w:rPr>
          <w:rFonts w:ascii="ＭＳ 明朝" w:eastAsia="ＭＳ 明朝" w:hAnsi="ＭＳ 明朝" w:cs="ＭＳ Ｐ明朝" w:hint="eastAsia"/>
          <w:kern w:val="0"/>
        </w:rPr>
        <w:t>短期</w:t>
      </w:r>
      <w:r w:rsidR="00EB5FC1">
        <w:rPr>
          <w:rFonts w:ascii="ＭＳ 明朝" w:eastAsia="ＭＳ 明朝" w:hAnsi="ＭＳ 明朝" w:cs="ＭＳ Ｐ明朝" w:hint="eastAsia"/>
          <w:kern w:val="0"/>
        </w:rPr>
        <w:t>証券</w:t>
      </w:r>
      <w:r w:rsidRPr="00703A85">
        <w:rPr>
          <w:rFonts w:ascii="ＭＳ 明朝" w:eastAsia="ＭＳ 明朝" w:hAnsi="ＭＳ 明朝" w:cs="ＭＳ Ｐ明朝" w:hint="eastAsia"/>
          <w:kern w:val="0"/>
        </w:rPr>
        <w:t>売買についての日銀ネットの利用に関して、日本銀行が別に定める手数料を日本銀行に支払うものとする。</w:t>
      </w:r>
    </w:p>
    <w:p w:rsidR="007F4EB6" w:rsidRPr="00703A85" w:rsidRDefault="007F4EB6" w:rsidP="007F4EB6">
      <w:pPr>
        <w:snapToGrid w:val="0"/>
        <w:spacing w:before="120" w:line="380" w:lineRule="exact"/>
        <w:rPr>
          <w:rFonts w:ascii="ＭＳ 明朝" w:eastAsia="ＭＳ 明朝" w:hAnsi="ＭＳ 明朝" w:cs="Times New Roman"/>
        </w:rPr>
      </w:pPr>
    </w:p>
    <w:p w:rsidR="007F4EB6" w:rsidRPr="00703A85" w:rsidRDefault="007F4EB6" w:rsidP="007F4EB6">
      <w:pPr>
        <w:snapToGrid w:val="0"/>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（日銀ネット障害時等の取扱い）</w:t>
      </w:r>
    </w:p>
    <w:p w:rsidR="007F4EB6" w:rsidRPr="00703A85" w:rsidRDefault="007F4EB6" w:rsidP="007F4EB6">
      <w:pPr>
        <w:adjustRightInd w:val="0"/>
        <w:snapToGrid w:val="0"/>
        <w:spacing w:before="120" w:line="380" w:lineRule="exact"/>
        <w:ind w:left="250" w:hanging="250"/>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第８条　日本銀行は、日銀ネットの障害その他の事情によりこの規則の規定による取扱いができないと認めた場合には、この規則の規定と異なる取扱いをし、または利用金融機関等にこの規則の規定と異なる取扱いをするよう指示することができる。</w:t>
      </w:r>
    </w:p>
    <w:p w:rsidR="007F4EB6" w:rsidRPr="00703A85" w:rsidRDefault="007F4EB6" w:rsidP="007F4EB6">
      <w:pPr>
        <w:snapToGrid w:val="0"/>
        <w:spacing w:before="120" w:line="380" w:lineRule="exact"/>
        <w:rPr>
          <w:rFonts w:ascii="ＭＳ 明朝" w:eastAsia="ＭＳ 明朝" w:hAnsi="ＭＳ 明朝" w:cs="Times New Roman"/>
        </w:rPr>
      </w:pPr>
    </w:p>
    <w:p w:rsidR="007F4EB6" w:rsidRPr="00703A85" w:rsidRDefault="007F4EB6" w:rsidP="007F4EB6">
      <w:pPr>
        <w:snapToGrid w:val="0"/>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（細則の制定）</w:t>
      </w:r>
    </w:p>
    <w:p w:rsidR="007F4EB6" w:rsidRPr="00703A85" w:rsidRDefault="007F4EB6" w:rsidP="007F4EB6">
      <w:pPr>
        <w:adjustRightInd w:val="0"/>
        <w:snapToGrid w:val="0"/>
        <w:spacing w:before="120" w:line="380" w:lineRule="exact"/>
        <w:ind w:left="240" w:hanging="240"/>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第９条　この規則に基づく日銀ネットの利用に関し必要な具体的事項については、日本銀行が別に定める。</w:t>
      </w:r>
    </w:p>
    <w:p w:rsidR="007F4EB6" w:rsidRPr="00703A85" w:rsidRDefault="007F4EB6" w:rsidP="007F4EB6">
      <w:pPr>
        <w:snapToGrid w:val="0"/>
        <w:spacing w:before="120" w:line="380" w:lineRule="exact"/>
        <w:rPr>
          <w:rFonts w:ascii="ＭＳ 明朝" w:eastAsia="ＭＳ 明朝" w:hAnsi="ＭＳ 明朝" w:cs="Times New Roman"/>
        </w:rPr>
      </w:pPr>
    </w:p>
    <w:p w:rsidR="007F4EB6" w:rsidRPr="00703A85" w:rsidRDefault="007F4EB6" w:rsidP="007F4EB6">
      <w:pPr>
        <w:snapToGrid w:val="0"/>
        <w:spacing w:before="120" w:line="380" w:lineRule="exact"/>
        <w:rPr>
          <w:rFonts w:ascii="ＭＳ 明朝" w:eastAsia="ＭＳ 明朝" w:hAnsi="ＭＳ 明朝" w:cs="Times New Roman"/>
        </w:rPr>
      </w:pPr>
      <w:r w:rsidRPr="00703A85">
        <w:rPr>
          <w:rFonts w:ascii="ＭＳ 明朝" w:eastAsia="ＭＳ 明朝" w:hAnsi="ＭＳ 明朝" w:cs="ＭＳ Ｐ明朝" w:hint="eastAsia"/>
        </w:rPr>
        <w:t>（所要事項の決定等）</w:t>
      </w:r>
    </w:p>
    <w:p w:rsidR="007F4EB6" w:rsidRPr="00703A85" w:rsidRDefault="007F4EB6" w:rsidP="007F4EB6">
      <w:pPr>
        <w:adjustRightInd w:val="0"/>
        <w:snapToGrid w:val="0"/>
        <w:spacing w:before="120" w:line="380" w:lineRule="exact"/>
        <w:ind w:left="250" w:hanging="250"/>
        <w:textAlignment w:val="baseline"/>
        <w:rPr>
          <w:rFonts w:ascii="ＭＳ 明朝" w:eastAsia="ＭＳ 明朝" w:hAnsi="ＭＳ 明朝" w:cs="Times New Roman"/>
          <w:kern w:val="0"/>
        </w:rPr>
      </w:pPr>
      <w:r w:rsidRPr="00703A85">
        <w:rPr>
          <w:rFonts w:ascii="ＭＳ 明朝" w:eastAsia="ＭＳ 明朝" w:hAnsi="ＭＳ 明朝" w:cs="ＭＳ Ｐ明朝" w:hint="eastAsia"/>
          <w:kern w:val="0"/>
        </w:rPr>
        <w:t>第１０条　日本銀行は、</w:t>
      </w:r>
      <w:r w:rsidR="00EB5FC1">
        <w:rPr>
          <w:rFonts w:ascii="ＭＳ 明朝" w:eastAsia="ＭＳ 明朝" w:hAnsi="ＭＳ 明朝" w:cs="ＭＳ Ｐ明朝" w:hint="eastAsia"/>
          <w:kern w:val="0"/>
        </w:rPr>
        <w:t>国庫</w:t>
      </w:r>
      <w:r w:rsidRPr="00703A85">
        <w:rPr>
          <w:rFonts w:ascii="ＭＳ 明朝" w:eastAsia="ＭＳ 明朝" w:hAnsi="ＭＳ 明朝" w:cs="ＭＳ Ｐ明朝" w:hint="eastAsia"/>
          <w:kern w:val="0"/>
        </w:rPr>
        <w:t>短期</w:t>
      </w:r>
      <w:r w:rsidR="00EB5FC1">
        <w:rPr>
          <w:rFonts w:ascii="ＭＳ 明朝" w:eastAsia="ＭＳ 明朝" w:hAnsi="ＭＳ 明朝" w:cs="ＭＳ Ｐ明朝" w:hint="eastAsia"/>
          <w:kern w:val="0"/>
        </w:rPr>
        <w:t>証券</w:t>
      </w:r>
      <w:r w:rsidRPr="00703A85">
        <w:rPr>
          <w:rFonts w:ascii="ＭＳ 明朝" w:eastAsia="ＭＳ 明朝" w:hAnsi="ＭＳ 明朝" w:cs="ＭＳ Ｐ明朝" w:hint="eastAsia"/>
          <w:kern w:val="0"/>
        </w:rPr>
        <w:t>売買についての日銀ネットの適切な運用を確保するため、この規則に定めるもののほか、所要の事項を定め、または所要の措置を講ずることができる。</w:t>
      </w:r>
    </w:p>
    <w:p w:rsidR="007F4EB6" w:rsidRPr="00703A85" w:rsidRDefault="007F4EB6" w:rsidP="007F4EB6">
      <w:pPr>
        <w:spacing w:before="120" w:line="380" w:lineRule="exact"/>
        <w:ind w:left="215" w:hanging="215"/>
        <w:rPr>
          <w:rFonts w:ascii="ＭＳ 明朝" w:eastAsia="ＭＳ 明朝" w:hAnsi="ＭＳ 明朝" w:cs="Times New Roman"/>
        </w:rPr>
      </w:pPr>
    </w:p>
    <w:p w:rsidR="007F4EB6" w:rsidRPr="00703A85" w:rsidRDefault="007F4EB6" w:rsidP="007F4EB6">
      <w:pPr>
        <w:spacing w:before="120" w:line="380" w:lineRule="exact"/>
        <w:ind w:left="215" w:hanging="215"/>
        <w:rPr>
          <w:rFonts w:ascii="ＭＳ 明朝" w:eastAsia="ＭＳ 明朝" w:hAnsi="ＭＳ 明朝" w:cs="Times New Roman"/>
        </w:rPr>
      </w:pPr>
      <w:r w:rsidRPr="00703A85">
        <w:rPr>
          <w:rFonts w:ascii="ＭＳ 明朝" w:eastAsia="ＭＳ 明朝" w:hAnsi="ＭＳ 明朝" w:cs="ＭＳ Ｐ明朝" w:hint="eastAsia"/>
        </w:rPr>
        <w:t>（規則の改正）</w:t>
      </w:r>
    </w:p>
    <w:p w:rsidR="007F4EB6" w:rsidRPr="00703A85" w:rsidRDefault="007F4EB6" w:rsidP="007F4EB6">
      <w:pPr>
        <w:spacing w:before="120" w:line="380" w:lineRule="exact"/>
        <w:ind w:left="240" w:hanging="240"/>
        <w:rPr>
          <w:rFonts w:ascii="ＭＳ 明朝" w:eastAsia="ＭＳ 明朝" w:hAnsi="ＭＳ 明朝" w:cs="Times New Roman"/>
        </w:rPr>
      </w:pPr>
      <w:r w:rsidRPr="00703A85">
        <w:rPr>
          <w:rFonts w:ascii="ＭＳ 明朝" w:eastAsia="ＭＳ 明朝" w:hAnsi="ＭＳ 明朝" w:cs="ＭＳ Ｐ明朝" w:hint="eastAsia"/>
        </w:rPr>
        <w:t>第１１条　日本銀行は、</w:t>
      </w:r>
      <w:r w:rsidR="00EB5FC1">
        <w:rPr>
          <w:rFonts w:ascii="ＭＳ 明朝" w:eastAsia="ＭＳ 明朝" w:hAnsi="ＭＳ 明朝" w:cs="ＭＳ Ｐ明朝" w:hint="eastAsia"/>
        </w:rPr>
        <w:t>国庫</w:t>
      </w:r>
      <w:r w:rsidRPr="00703A85">
        <w:rPr>
          <w:rFonts w:ascii="ＭＳ 明朝" w:eastAsia="ＭＳ 明朝" w:hAnsi="ＭＳ 明朝" w:cs="ＭＳ Ｐ明朝" w:hint="eastAsia"/>
        </w:rPr>
        <w:t>短期</w:t>
      </w:r>
      <w:r w:rsidR="00EB5FC1">
        <w:rPr>
          <w:rFonts w:ascii="ＭＳ 明朝" w:eastAsia="ＭＳ 明朝" w:hAnsi="ＭＳ 明朝" w:cs="ＭＳ Ｐ明朝" w:hint="eastAsia"/>
        </w:rPr>
        <w:t>証券</w:t>
      </w:r>
      <w:r w:rsidRPr="00703A85">
        <w:rPr>
          <w:rFonts w:ascii="ＭＳ 明朝" w:eastAsia="ＭＳ 明朝" w:hAnsi="ＭＳ 明朝" w:cs="ＭＳ Ｐ明朝" w:hint="eastAsia"/>
        </w:rPr>
        <w:t>売買についての日銀ネットの適切な運用を確保するため、必要と認める場合には、この規則を改正することができる。</w:t>
      </w:r>
    </w:p>
    <w:p w:rsidR="007F4EB6" w:rsidRPr="00703A85" w:rsidRDefault="007F4EB6" w:rsidP="007F4EB6">
      <w:pPr>
        <w:rPr>
          <w:rFonts w:ascii="ＭＳ 明朝" w:eastAsia="ＭＳ 明朝" w:hAnsi="ＭＳ 明朝" w:cs="Times New Roman"/>
        </w:rPr>
      </w:pPr>
    </w:p>
    <w:p w:rsidR="007F4EB6" w:rsidRPr="00703A85" w:rsidRDefault="007F4EB6" w:rsidP="007F4EB6">
      <w:pPr>
        <w:adjustRightInd w:val="0"/>
        <w:snapToGrid w:val="0"/>
        <w:spacing w:before="120" w:line="380" w:lineRule="exact"/>
        <w:ind w:left="240" w:hanging="240"/>
        <w:textAlignment w:val="baseline"/>
        <w:rPr>
          <w:rFonts w:ascii="ＭＳ 明朝" w:eastAsia="ＭＳ 明朝" w:hAnsi="ＭＳ 明朝" w:cs="Times New Roman"/>
          <w:kern w:val="0"/>
          <w:sz w:val="25"/>
          <w:szCs w:val="25"/>
        </w:rPr>
      </w:pPr>
    </w:p>
    <w:p w:rsidR="004D4E81" w:rsidRPr="003B292C" w:rsidRDefault="004D4E81" w:rsidP="003E4BE2">
      <w:pPr>
        <w:spacing w:line="380" w:lineRule="exact"/>
        <w:ind w:firstLine="966"/>
        <w:jc w:val="right"/>
      </w:pPr>
    </w:p>
    <w:sectPr w:rsidR="004D4E81" w:rsidRPr="003B292C" w:rsidSect="00703A85">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701" w:left="1701" w:header="567" w:footer="567" w:gutter="0"/>
      <w:cols w:space="425"/>
      <w:docGrid w:type="lines" w:linePitch="38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C4" w:rsidRDefault="00D1603D">
      <w:r>
        <w:separator/>
      </w:r>
    </w:p>
  </w:endnote>
  <w:endnote w:type="continuationSeparator" w:id="0">
    <w:p w:rsidR="00CB17C4" w:rsidRDefault="00D1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85" w:rsidRDefault="00703A85" w:rsidP="008B41D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3A85" w:rsidRDefault="00703A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85" w:rsidRPr="00703A85" w:rsidRDefault="00703A85" w:rsidP="008B41DA">
    <w:pPr>
      <w:pStyle w:val="a5"/>
      <w:framePr w:wrap="around" w:vAnchor="text" w:hAnchor="margin" w:xAlign="center" w:y="1"/>
      <w:rPr>
        <w:rStyle w:val="a6"/>
        <w:rFonts w:ascii="ＭＳ 明朝" w:eastAsia="ＭＳ 明朝" w:hAnsi="ＭＳ 明朝"/>
        <w:sz w:val="21"/>
        <w:szCs w:val="21"/>
      </w:rPr>
    </w:pPr>
    <w:r w:rsidRPr="00703A85">
      <w:rPr>
        <w:rStyle w:val="a6"/>
        <w:rFonts w:ascii="ＭＳ 明朝" w:eastAsia="ＭＳ 明朝" w:hAnsi="ＭＳ 明朝"/>
        <w:sz w:val="21"/>
        <w:szCs w:val="21"/>
      </w:rPr>
      <w:fldChar w:fldCharType="begin"/>
    </w:r>
    <w:r w:rsidRPr="00703A85">
      <w:rPr>
        <w:rStyle w:val="a6"/>
        <w:rFonts w:ascii="ＭＳ 明朝" w:eastAsia="ＭＳ 明朝" w:hAnsi="ＭＳ 明朝"/>
        <w:sz w:val="21"/>
        <w:szCs w:val="21"/>
      </w:rPr>
      <w:instrText xml:space="preserve">PAGE  </w:instrText>
    </w:r>
    <w:r w:rsidRPr="00703A85">
      <w:rPr>
        <w:rStyle w:val="a6"/>
        <w:rFonts w:ascii="ＭＳ 明朝" w:eastAsia="ＭＳ 明朝" w:hAnsi="ＭＳ 明朝"/>
        <w:sz w:val="21"/>
        <w:szCs w:val="21"/>
      </w:rPr>
      <w:fldChar w:fldCharType="separate"/>
    </w:r>
    <w:r w:rsidR="00895947">
      <w:rPr>
        <w:rStyle w:val="a6"/>
        <w:rFonts w:ascii="ＭＳ 明朝" w:eastAsia="ＭＳ 明朝" w:hAnsi="ＭＳ 明朝"/>
        <w:noProof/>
        <w:sz w:val="21"/>
        <w:szCs w:val="21"/>
      </w:rPr>
      <w:t>1</w:t>
    </w:r>
    <w:r w:rsidRPr="00703A85">
      <w:rPr>
        <w:rStyle w:val="a6"/>
        <w:rFonts w:ascii="ＭＳ 明朝" w:eastAsia="ＭＳ 明朝" w:hAnsi="ＭＳ 明朝"/>
        <w:sz w:val="21"/>
        <w:szCs w:val="21"/>
      </w:rPr>
      <w:fldChar w:fldCharType="end"/>
    </w:r>
  </w:p>
  <w:p w:rsidR="00703A85" w:rsidRDefault="00703A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47" w:rsidRDefault="00895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C4" w:rsidRDefault="00D1603D">
      <w:r>
        <w:separator/>
      </w:r>
    </w:p>
  </w:footnote>
  <w:footnote w:type="continuationSeparator" w:id="0">
    <w:p w:rsidR="00CB17C4" w:rsidRDefault="00D1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47" w:rsidRDefault="008959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47" w:rsidRDefault="008959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47" w:rsidRDefault="008959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A1549C"/>
    <w:multiLevelType w:val="hybridMultilevel"/>
    <w:tmpl w:val="8CDAF2BE"/>
    <w:lvl w:ilvl="0" w:tplc="CF8247F8">
      <w:numFmt w:val="bullet"/>
      <w:lvlText w:val="○"/>
      <w:lvlJc w:val="left"/>
      <w:pPr>
        <w:tabs>
          <w:tab w:val="num" w:pos="480"/>
        </w:tabs>
        <w:ind w:left="480" w:hanging="48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480"/>
        <w:lvlJc w:val="left"/>
        <w:pPr>
          <w:ind w:left="480" w:hanging="480"/>
        </w:pPr>
        <w:rPr>
          <w:rFonts w:ascii="ＭＳ 明朝" w:eastAsia="ＭＳ 明朝" w:hAnsi="ＭＳ 明朝"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19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642"/>
    <w:rsid w:val="00020250"/>
    <w:rsid w:val="00024E0A"/>
    <w:rsid w:val="000463C3"/>
    <w:rsid w:val="0004671B"/>
    <w:rsid w:val="00050DAB"/>
    <w:rsid w:val="00062226"/>
    <w:rsid w:val="000814D2"/>
    <w:rsid w:val="000C3FF2"/>
    <w:rsid w:val="001416BB"/>
    <w:rsid w:val="00145D2D"/>
    <w:rsid w:val="0016027B"/>
    <w:rsid w:val="00177C61"/>
    <w:rsid w:val="001B5134"/>
    <w:rsid w:val="001B791F"/>
    <w:rsid w:val="00201CAB"/>
    <w:rsid w:val="00223642"/>
    <w:rsid w:val="00270BD4"/>
    <w:rsid w:val="00281881"/>
    <w:rsid w:val="00290106"/>
    <w:rsid w:val="002C41A3"/>
    <w:rsid w:val="002C48A3"/>
    <w:rsid w:val="00357A0D"/>
    <w:rsid w:val="00374953"/>
    <w:rsid w:val="003B292C"/>
    <w:rsid w:val="003E4BE2"/>
    <w:rsid w:val="003F46A9"/>
    <w:rsid w:val="003F5386"/>
    <w:rsid w:val="003F74C5"/>
    <w:rsid w:val="004D4E81"/>
    <w:rsid w:val="004E78CD"/>
    <w:rsid w:val="00513CA5"/>
    <w:rsid w:val="005750F2"/>
    <w:rsid w:val="005D67DF"/>
    <w:rsid w:val="0063590C"/>
    <w:rsid w:val="006A19B0"/>
    <w:rsid w:val="006D0A0B"/>
    <w:rsid w:val="00703A85"/>
    <w:rsid w:val="00706F78"/>
    <w:rsid w:val="0071786C"/>
    <w:rsid w:val="00717AC0"/>
    <w:rsid w:val="007720B8"/>
    <w:rsid w:val="007F4EB6"/>
    <w:rsid w:val="008871A1"/>
    <w:rsid w:val="00895947"/>
    <w:rsid w:val="008A005C"/>
    <w:rsid w:val="008B3E48"/>
    <w:rsid w:val="008B41DA"/>
    <w:rsid w:val="008D3467"/>
    <w:rsid w:val="008F58E0"/>
    <w:rsid w:val="00907006"/>
    <w:rsid w:val="00965B57"/>
    <w:rsid w:val="00973360"/>
    <w:rsid w:val="00987D64"/>
    <w:rsid w:val="009A1FD9"/>
    <w:rsid w:val="009D2F95"/>
    <w:rsid w:val="00A91818"/>
    <w:rsid w:val="00A953E2"/>
    <w:rsid w:val="00AA43E9"/>
    <w:rsid w:val="00AB1E67"/>
    <w:rsid w:val="00AC3B86"/>
    <w:rsid w:val="00AD61AC"/>
    <w:rsid w:val="00B05EBF"/>
    <w:rsid w:val="00B15C60"/>
    <w:rsid w:val="00B44CCE"/>
    <w:rsid w:val="00B70D54"/>
    <w:rsid w:val="00B71522"/>
    <w:rsid w:val="00B75F5D"/>
    <w:rsid w:val="00BA6BEA"/>
    <w:rsid w:val="00BC72FC"/>
    <w:rsid w:val="00C10EDF"/>
    <w:rsid w:val="00C22D54"/>
    <w:rsid w:val="00C27D98"/>
    <w:rsid w:val="00C65479"/>
    <w:rsid w:val="00C67E90"/>
    <w:rsid w:val="00CB0874"/>
    <w:rsid w:val="00CB17C4"/>
    <w:rsid w:val="00D1603D"/>
    <w:rsid w:val="00D255D4"/>
    <w:rsid w:val="00D336F2"/>
    <w:rsid w:val="00D42A4D"/>
    <w:rsid w:val="00D6198C"/>
    <w:rsid w:val="00D73DB1"/>
    <w:rsid w:val="00D92498"/>
    <w:rsid w:val="00E11B49"/>
    <w:rsid w:val="00E248D9"/>
    <w:rsid w:val="00E94905"/>
    <w:rsid w:val="00EB5FC1"/>
    <w:rsid w:val="00F44CF0"/>
    <w:rsid w:val="00F5737C"/>
    <w:rsid w:val="00FA18B9"/>
    <w:rsid w:val="00FC3EB9"/>
    <w:rsid w:val="00FD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pacing w:line="360" w:lineRule="atLeast"/>
      <w:textAlignment w:val="baseline"/>
    </w:pPr>
    <w:rPr>
      <w:rFonts w:ascii="ＭＳ 明朝" w:eastAsia="ＭＳ 明朝" w:cs="ＭＳ 明朝"/>
      <w:kern w:val="0"/>
      <w:sz w:val="25"/>
      <w:szCs w:val="25"/>
    </w:rPr>
  </w:style>
  <w:style w:type="paragraph" w:styleId="a4">
    <w:name w:val="Body Text Indent"/>
    <w:basedOn w:val="a"/>
    <w:pPr>
      <w:adjustRightInd w:val="0"/>
      <w:spacing w:line="360" w:lineRule="auto"/>
      <w:ind w:left="240" w:hanging="240"/>
      <w:textAlignment w:val="baseline"/>
    </w:pPr>
    <w:rPr>
      <w:rFonts w:ascii="ＭＳ 明朝" w:eastAsia="ＭＳ 明朝" w:cs="ＭＳ 明朝"/>
      <w:kern w:val="0"/>
      <w:sz w:val="25"/>
      <w:szCs w:val="25"/>
    </w:rPr>
  </w:style>
  <w:style w:type="paragraph" w:styleId="2">
    <w:name w:val="Body Text Indent 2"/>
    <w:basedOn w:val="a"/>
    <w:pPr>
      <w:adjustRightInd w:val="0"/>
      <w:spacing w:line="360" w:lineRule="auto"/>
      <w:ind w:left="250" w:hanging="250"/>
      <w:textAlignment w:val="baseline"/>
    </w:pPr>
    <w:rPr>
      <w:rFonts w:ascii="Mincho" w:eastAsia="Mincho" w:cs="Mincho"/>
      <w:kern w:val="0"/>
      <w:sz w:val="25"/>
      <w:szCs w:val="25"/>
    </w:rPr>
  </w:style>
  <w:style w:type="paragraph" w:styleId="3">
    <w:name w:val="Body Text Indent 3"/>
    <w:basedOn w:val="a"/>
    <w:pPr>
      <w:adjustRightInd w:val="0"/>
      <w:snapToGrid w:val="0"/>
      <w:spacing w:line="360" w:lineRule="auto"/>
      <w:ind w:left="490" w:hanging="490"/>
      <w:textAlignment w:val="baseline"/>
    </w:pPr>
    <w:rPr>
      <w:rFonts w:ascii="Mincho" w:eastAsia="Mincho" w:cs="Mincho"/>
      <w:kern w:val="0"/>
      <w:sz w:val="25"/>
      <w:szCs w:val="25"/>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8A005C"/>
    <w:rPr>
      <w:rFonts w:ascii="Arial" w:eastAsia="ＭＳ ゴシック" w:hAnsi="Arial" w:cs="Arial"/>
      <w:sz w:val="18"/>
      <w:szCs w:val="18"/>
    </w:rPr>
  </w:style>
  <w:style w:type="paragraph" w:styleId="a8">
    <w:name w:val="Body Text"/>
    <w:basedOn w:val="a"/>
    <w:rsid w:val="00C67E90"/>
  </w:style>
  <w:style w:type="paragraph" w:customStyle="1" w:styleId="21">
    <w:name w:val="本文 21"/>
    <w:basedOn w:val="a"/>
    <w:rsid w:val="00C67E90"/>
    <w:pPr>
      <w:adjustRightInd w:val="0"/>
      <w:spacing w:line="240" w:lineRule="exact"/>
      <w:ind w:right="-1650"/>
      <w:textAlignment w:val="baseline"/>
    </w:pPr>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2022-08-09T02:33:00Z</dcterms:created>
  <dcterms:modified xsi:type="dcterms:W3CDTF">2022-08-09T02:33:00Z</dcterms:modified>
</cp:coreProperties>
</file>