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86" w:rsidRDefault="007D2244">
      <w:pPr>
        <w:snapToGrid w:val="0"/>
        <w:jc w:val="center"/>
        <w:rPr>
          <w:rFonts w:ascii="ＭＳ ゴシック" w:eastAsia="ＭＳ ゴシック" w:hAnsi="ＭＳ ゴシック"/>
          <w:sz w:val="28"/>
          <w:szCs w:val="28"/>
        </w:rPr>
      </w:pPr>
      <w:bookmarkStart w:id="0" w:name="_GoBack"/>
      <w:bookmarkEnd w:id="0"/>
      <w:r w:rsidRPr="00535890">
        <w:rPr>
          <w:rFonts w:ascii="ＭＳ ゴシック" w:eastAsia="ＭＳ ゴシック" w:hAnsi="ＭＳ ゴシック" w:hint="eastAsia"/>
          <w:sz w:val="28"/>
          <w:szCs w:val="28"/>
        </w:rPr>
        <w:t>振替社債等資金同時受渡関係事務についての日本銀行</w:t>
      </w:r>
    </w:p>
    <w:p w:rsidR="007D2244" w:rsidRPr="00535890" w:rsidRDefault="007D2244" w:rsidP="001F37CD">
      <w:pPr>
        <w:snapToGrid w:val="0"/>
        <w:ind w:leftChars="-288" w:hangingChars="257" w:hanging="720"/>
        <w:jc w:val="center"/>
        <w:rPr>
          <w:rFonts w:ascii="ＭＳ ゴシック" w:eastAsia="ＭＳ ゴシック" w:hAnsi="ＭＳ ゴシック"/>
          <w:sz w:val="28"/>
          <w:szCs w:val="28"/>
        </w:rPr>
      </w:pPr>
      <w:r w:rsidRPr="00535890">
        <w:rPr>
          <w:rFonts w:ascii="ＭＳ ゴシック" w:eastAsia="ＭＳ ゴシック" w:hAnsi="ＭＳ ゴシック" w:hint="eastAsia"/>
          <w:sz w:val="28"/>
          <w:szCs w:val="28"/>
        </w:rPr>
        <w:t>金融ネットワークシステムの利用に関する規則</w:t>
      </w:r>
    </w:p>
    <w:p w:rsidR="007D2244" w:rsidRDefault="007D2244">
      <w:pPr>
        <w:snapToGrid w:val="0"/>
        <w:jc w:val="center"/>
      </w:pPr>
    </w:p>
    <w:p w:rsidR="00650FCF" w:rsidRPr="001A4FE9" w:rsidRDefault="00650FCF" w:rsidP="00650FCF">
      <w:pPr>
        <w:autoSpaceDE w:val="0"/>
        <w:autoSpaceDN w:val="0"/>
        <w:spacing w:line="240" w:lineRule="auto"/>
        <w:textAlignment w:val="center"/>
        <w:rPr>
          <w:rFonts w:ascii="ＭＳ 明朝"/>
        </w:rPr>
      </w:pPr>
    </w:p>
    <w:p w:rsidR="007D2244" w:rsidRDefault="007D2244">
      <w:pPr>
        <w:ind w:left="357" w:hanging="357"/>
      </w:pPr>
      <w:r>
        <w:rPr>
          <w:rFonts w:hint="eastAsia"/>
        </w:rPr>
        <w:t>（趣旨）</w:t>
      </w:r>
    </w:p>
    <w:p w:rsidR="007D2244" w:rsidRDefault="007D2244">
      <w:pPr>
        <w:ind w:left="357" w:hanging="238"/>
      </w:pPr>
      <w:r>
        <w:rPr>
          <w:rFonts w:hint="eastAsia"/>
        </w:rPr>
        <w:t>第１条　この規則は、振替社債等資金同時受渡関係事務</w:t>
      </w:r>
      <w:r w:rsidR="00B3438D" w:rsidRPr="00B3438D">
        <w:rPr>
          <w:rFonts w:hint="eastAsia"/>
        </w:rPr>
        <w:t>（日本銀行が通貨および金融の調節として行う短期社債等、社債および不動産投資法人債の売戻条件を付さない買入関係事務を含む。）</w:t>
      </w:r>
      <w:r>
        <w:rPr>
          <w:rFonts w:hint="eastAsia"/>
        </w:rPr>
        <w:t>についての日本銀行金融ネットワークシステム（以下「日銀ネット」という。）の利用に関する基本的な事項を定める。</w:t>
      </w:r>
    </w:p>
    <w:p w:rsidR="007D2244" w:rsidRDefault="007D2244"/>
    <w:p w:rsidR="007D2244" w:rsidRDefault="007D2244">
      <w:pPr>
        <w:ind w:left="357" w:hanging="357"/>
        <w:rPr>
          <w:rFonts w:ascii="‚l‚r –¾’©"/>
        </w:rPr>
      </w:pPr>
      <w:r>
        <w:rPr>
          <w:rFonts w:hint="eastAsia"/>
        </w:rPr>
        <w:t>（資金受入・払込先の通知</w:t>
      </w:r>
      <w:r w:rsidR="00F3245A">
        <w:rPr>
          <w:rFonts w:hint="eastAsia"/>
        </w:rPr>
        <w:t>等</w:t>
      </w:r>
      <w:r>
        <w:rPr>
          <w:rFonts w:hint="eastAsia"/>
        </w:rPr>
        <w:t>）</w:t>
      </w:r>
    </w:p>
    <w:p w:rsidR="007D2244" w:rsidRDefault="007D2244">
      <w:pPr>
        <w:ind w:left="357" w:hanging="238"/>
      </w:pPr>
      <w:r>
        <w:rPr>
          <w:rFonts w:hint="eastAsia"/>
        </w:rPr>
        <w:t>第２条　株式会社証券保管振替機構（以下「機構」という。）は、日本銀行と当座勘定取引を</w:t>
      </w:r>
      <w:r w:rsidR="004B21E0">
        <w:rPr>
          <w:rFonts w:hint="eastAsia"/>
        </w:rPr>
        <w:t>行っている</w:t>
      </w:r>
      <w:r>
        <w:rPr>
          <w:rFonts w:hint="eastAsia"/>
        </w:rPr>
        <w:t>金融機関等の営業所等</w:t>
      </w:r>
      <w:r w:rsidR="00B3438D" w:rsidRPr="00B3438D">
        <w:rPr>
          <w:rFonts w:hint="eastAsia"/>
        </w:rPr>
        <w:t>（日本銀行にあっては、日本銀行業務局）</w:t>
      </w:r>
      <w:r>
        <w:rPr>
          <w:rFonts w:hint="eastAsia"/>
        </w:rPr>
        <w:t>であって、当座勘定取引についての日銀ネットの利用を行っている営業所等</w:t>
      </w:r>
      <w:r w:rsidR="00B3438D" w:rsidRPr="00B3438D">
        <w:rPr>
          <w:rFonts w:hint="eastAsia"/>
        </w:rPr>
        <w:t>（日本銀行にあっては、日本銀行業務局）</w:t>
      </w:r>
      <w:r>
        <w:rPr>
          <w:rFonts w:hint="eastAsia"/>
        </w:rPr>
        <w:t>のうちから、資金受入・払込先（機構が、第４条第４項第２号または第３号に規定する先として、日本銀行に通知することができる先をいう。以下同じ。）としようとする先を日本銀行に書面により通知するものとする</w:t>
      </w:r>
      <w:r w:rsidR="00B3438D" w:rsidRPr="00B3438D">
        <w:rPr>
          <w:rFonts w:hint="eastAsia"/>
        </w:rPr>
        <w:t>（ただし、資金受入・払込先が日本銀行業務局である場合には、通知を要しない。）</w:t>
      </w:r>
      <w:r>
        <w:rPr>
          <w:rFonts w:hint="eastAsia"/>
        </w:rPr>
        <w:t>。</w:t>
      </w:r>
      <w:r w:rsidR="004B21E0">
        <w:rPr>
          <w:rFonts w:hint="eastAsia"/>
        </w:rPr>
        <w:t>この場合、</w:t>
      </w:r>
      <w:r>
        <w:rPr>
          <w:rFonts w:hint="eastAsia"/>
        </w:rPr>
        <w:t>日本銀行は、当該先からの願出を受け、</w:t>
      </w:r>
      <w:r w:rsidR="004B21E0">
        <w:rPr>
          <w:rFonts w:hint="eastAsia"/>
        </w:rPr>
        <w:t>当該先を</w:t>
      </w:r>
      <w:r>
        <w:rPr>
          <w:rFonts w:hint="eastAsia"/>
        </w:rPr>
        <w:t>資金受入・払込先</w:t>
      </w:r>
      <w:r w:rsidR="004B21E0">
        <w:rPr>
          <w:rFonts w:hint="eastAsia"/>
        </w:rPr>
        <w:t>として</w:t>
      </w:r>
      <w:r>
        <w:rPr>
          <w:rFonts w:hint="eastAsia"/>
        </w:rPr>
        <w:t>承認するかを決定する。</w:t>
      </w:r>
    </w:p>
    <w:p w:rsidR="007D2244" w:rsidRDefault="007D2244">
      <w:pPr>
        <w:ind w:left="357" w:hanging="238"/>
      </w:pPr>
      <w:r>
        <w:rPr>
          <w:rFonts w:hint="eastAsia"/>
        </w:rPr>
        <w:t>２．機構は、前項の規定に基づき日本銀行によって承認された先の取扱い</w:t>
      </w:r>
      <w:r w:rsidR="00BC203A">
        <w:rPr>
          <w:rFonts w:hint="eastAsia"/>
        </w:rPr>
        <w:t>を</w:t>
      </w:r>
      <w:r>
        <w:rPr>
          <w:rFonts w:hint="eastAsia"/>
        </w:rPr>
        <w:lastRenderedPageBreak/>
        <w:t>変更</w:t>
      </w:r>
      <w:r w:rsidR="00BC203A">
        <w:rPr>
          <w:rFonts w:hint="eastAsia"/>
        </w:rPr>
        <w:t>しようとする</w:t>
      </w:r>
      <w:r>
        <w:rPr>
          <w:rFonts w:hint="eastAsia"/>
        </w:rPr>
        <w:t>場合も同様に日本銀行に書面により通知するものとする。</w:t>
      </w:r>
    </w:p>
    <w:p w:rsidR="007D2244" w:rsidRDefault="007D2244">
      <w:pPr>
        <w:ind w:left="357" w:hanging="238"/>
      </w:pPr>
    </w:p>
    <w:p w:rsidR="007D2244" w:rsidRDefault="007D2244">
      <w:pPr>
        <w:ind w:left="357" w:hanging="357"/>
        <w:rPr>
          <w:rFonts w:ascii="‚l‚r –¾’©"/>
        </w:rPr>
      </w:pPr>
      <w:r>
        <w:rPr>
          <w:rFonts w:hint="eastAsia"/>
        </w:rPr>
        <w:t>（利用のための届出）</w:t>
      </w:r>
    </w:p>
    <w:p w:rsidR="007D2244" w:rsidRDefault="007D2244">
      <w:pPr>
        <w:ind w:left="357" w:hanging="238"/>
      </w:pPr>
      <w:r>
        <w:rPr>
          <w:rFonts w:hint="eastAsia"/>
        </w:rPr>
        <w:t>第３条　機構は、次の各号に掲げる事項を日本銀行に書面により届出るものとする。</w:t>
      </w:r>
    </w:p>
    <w:p w:rsidR="007D2244" w:rsidRDefault="007D2244">
      <w:pPr>
        <w:ind w:left="357" w:hanging="238"/>
        <w:rPr>
          <w:rFonts w:ascii="‚l‚r –¾’©"/>
        </w:rPr>
      </w:pPr>
      <w:r>
        <w:rPr>
          <w:rFonts w:hint="eastAsia"/>
        </w:rPr>
        <w:t>（１）商号</w:t>
      </w:r>
    </w:p>
    <w:p w:rsidR="007D2244" w:rsidRDefault="007D2244">
      <w:pPr>
        <w:ind w:left="357" w:hanging="238"/>
        <w:rPr>
          <w:rFonts w:ascii="‚l‚r –¾’©"/>
        </w:rPr>
      </w:pPr>
      <w:r>
        <w:rPr>
          <w:rFonts w:hint="eastAsia"/>
        </w:rPr>
        <w:t>（２）所在地</w:t>
      </w:r>
    </w:p>
    <w:p w:rsidR="007D2244" w:rsidRDefault="007D2244">
      <w:pPr>
        <w:ind w:left="357" w:hanging="238"/>
        <w:rPr>
          <w:rFonts w:ascii="‚l‚r –¾’©"/>
        </w:rPr>
      </w:pPr>
      <w:r>
        <w:rPr>
          <w:rFonts w:hint="eastAsia"/>
        </w:rPr>
        <w:t>（３）代表者の氏名</w:t>
      </w:r>
    </w:p>
    <w:p w:rsidR="007D2244" w:rsidRDefault="007D2244" w:rsidP="00F73957">
      <w:pPr>
        <w:ind w:leftChars="48" w:left="608" w:hangingChars="195" w:hanging="488"/>
        <w:rPr>
          <w:rFonts w:ascii="‚l‚r –¾’©"/>
        </w:rPr>
      </w:pPr>
      <w:r>
        <w:rPr>
          <w:rFonts w:hint="eastAsia"/>
        </w:rPr>
        <w:t>（４）代理人により振替社債等資金同時受渡関係事務についての諸届出等を行う場合にはその氏名</w:t>
      </w:r>
    </w:p>
    <w:p w:rsidR="007D2244" w:rsidRDefault="007D2244" w:rsidP="00F73957">
      <w:pPr>
        <w:ind w:leftChars="48" w:left="608" w:hangingChars="195" w:hanging="488"/>
        <w:rPr>
          <w:rFonts w:ascii="‚l‚r –¾’©"/>
        </w:rPr>
      </w:pPr>
      <w:r>
        <w:rPr>
          <w:rFonts w:hint="eastAsia"/>
        </w:rPr>
        <w:t>（５）振替社債等資金同時受渡関係事務についての諸届出等に使用する印鑑または署名鑑</w:t>
      </w:r>
    </w:p>
    <w:p w:rsidR="007D2244" w:rsidRDefault="007D2244">
      <w:pPr>
        <w:ind w:left="357" w:hanging="238"/>
        <w:rPr>
          <w:rFonts w:ascii="‚l‚r –¾’©"/>
        </w:rPr>
      </w:pPr>
      <w:r>
        <w:rPr>
          <w:rFonts w:hint="eastAsia"/>
        </w:rPr>
        <w:t>２．機構は、前項各号に掲げる事項に変更があった場合には、日本銀行に書面によりその旨届出るものとする。</w:t>
      </w:r>
    </w:p>
    <w:p w:rsidR="007D2244" w:rsidRDefault="007D2244">
      <w:pPr>
        <w:ind w:left="357" w:hanging="238"/>
      </w:pPr>
      <w:r>
        <w:rPr>
          <w:rFonts w:hint="eastAsia"/>
        </w:rPr>
        <w:t>３．前２項の規定により現に届出られている事項が事実と異なるために、日本銀行からの書類等が延着し、または到達しなかった場合には、当該書類等は通常到達すべき時に到達したものとみなす。</w:t>
      </w:r>
    </w:p>
    <w:p w:rsidR="007D2244" w:rsidRDefault="007D2244"/>
    <w:p w:rsidR="007D2244" w:rsidRDefault="007D2244">
      <w:pPr>
        <w:ind w:left="357" w:hanging="357"/>
      </w:pPr>
      <w:r>
        <w:rPr>
          <w:rFonts w:hint="eastAsia"/>
        </w:rPr>
        <w:t>（入金依頼）</w:t>
      </w:r>
    </w:p>
    <w:p w:rsidR="007D2244" w:rsidRDefault="007D2244">
      <w:pPr>
        <w:ind w:left="357" w:hanging="238"/>
      </w:pPr>
      <w:r>
        <w:rPr>
          <w:rFonts w:hint="eastAsia"/>
        </w:rPr>
        <w:t>第４条　機構は、</w:t>
      </w:r>
      <w:r w:rsidR="007C3D01" w:rsidRPr="007C3D01">
        <w:rPr>
          <w:rFonts w:hint="eastAsia"/>
        </w:rPr>
        <w:t>第４項第３号に規定する資金払込先が第５条または第５条の２の規定により別に指定する</w:t>
      </w:r>
      <w:r>
        <w:rPr>
          <w:rFonts w:hint="eastAsia"/>
        </w:rPr>
        <w:t>当座勘定</w:t>
      </w:r>
      <w:r w:rsidR="00B3438D" w:rsidRPr="00B3438D">
        <w:rPr>
          <w:rFonts w:hint="eastAsia"/>
        </w:rPr>
        <w:t>（当座勘定（同時決済口）以外の当座勘定をいう。資金受入・払込先が日本銀行業務局である場合には、振替社債等資金同時受渡にかかる日本銀行業務局の口座を入金または引落を行う</w:t>
      </w:r>
      <w:r w:rsidR="00B3438D" w:rsidRPr="00B3438D">
        <w:rPr>
          <w:rFonts w:hint="eastAsia"/>
        </w:rPr>
        <w:lastRenderedPageBreak/>
        <w:t>当座勘定とみなす。以下同じ。）</w:t>
      </w:r>
      <w:r w:rsidR="007C3D01" w:rsidRPr="007C3D01">
        <w:rPr>
          <w:rFonts w:hint="eastAsia"/>
        </w:rPr>
        <w:t>または当座勘定（同時決済口）</w:t>
      </w:r>
      <w:r>
        <w:rPr>
          <w:rFonts w:hint="eastAsia"/>
        </w:rPr>
        <w:t>への入金を依頼すること（以下「入金依頼」という。）ができる。</w:t>
      </w:r>
    </w:p>
    <w:p w:rsidR="007D2244" w:rsidRDefault="007D2244">
      <w:pPr>
        <w:ind w:left="357" w:hanging="238"/>
      </w:pPr>
      <w:r>
        <w:rPr>
          <w:rFonts w:hint="eastAsia"/>
        </w:rPr>
        <w:t>２．日本銀行は、入金依頼が行われた場合には、機構に対してのみ入金の義務を負う。</w:t>
      </w:r>
    </w:p>
    <w:p w:rsidR="007D2244" w:rsidRDefault="007D2244">
      <w:pPr>
        <w:ind w:left="357" w:hanging="238"/>
      </w:pPr>
      <w:r>
        <w:rPr>
          <w:rFonts w:hint="eastAsia"/>
        </w:rPr>
        <w:t>３．入金依頼は、日銀ネットを利用して、日本銀行が別に定める時刻までに行うものとする。</w:t>
      </w:r>
    </w:p>
    <w:p w:rsidR="007D2244" w:rsidRDefault="007D2244">
      <w:pPr>
        <w:ind w:left="357" w:hanging="238"/>
      </w:pPr>
      <w:r>
        <w:rPr>
          <w:rFonts w:hint="eastAsia"/>
        </w:rPr>
        <w:t>４．入金依頼においては、次の各号に掲げる事項を通知するものとする。</w:t>
      </w:r>
    </w:p>
    <w:p w:rsidR="007D2244" w:rsidRDefault="007D2244">
      <w:pPr>
        <w:ind w:left="357" w:hanging="238"/>
      </w:pPr>
      <w:r>
        <w:rPr>
          <w:rFonts w:hint="eastAsia"/>
        </w:rPr>
        <w:t>（１）入金を依頼する金額（以下「資金受渡金額」という。）</w:t>
      </w:r>
    </w:p>
    <w:p w:rsidR="007D2244" w:rsidRDefault="007D2244">
      <w:pPr>
        <w:ind w:left="357" w:hanging="238"/>
      </w:pPr>
      <w:r>
        <w:rPr>
          <w:rFonts w:hint="eastAsia"/>
        </w:rPr>
        <w:t>（２）</w:t>
      </w:r>
      <w:r w:rsidR="007C3D01" w:rsidRPr="007C3D01">
        <w:rPr>
          <w:rFonts w:hint="eastAsia"/>
        </w:rPr>
        <w:t>資金受渡金額</w:t>
      </w:r>
      <w:r w:rsidR="00B3438D" w:rsidRPr="00B3438D">
        <w:rPr>
          <w:rFonts w:hint="eastAsia"/>
        </w:rPr>
        <w:t>にかかる当座勘定への入金が行われる</w:t>
      </w:r>
      <w:r w:rsidR="007C3D01" w:rsidRPr="007C3D01">
        <w:rPr>
          <w:rFonts w:hint="eastAsia"/>
        </w:rPr>
        <w:t>先</w:t>
      </w:r>
      <w:r>
        <w:rPr>
          <w:rFonts w:hint="eastAsia"/>
        </w:rPr>
        <w:t>（以下「資金受入先」という。）の名称</w:t>
      </w:r>
    </w:p>
    <w:p w:rsidR="007D2244" w:rsidRDefault="007D2244" w:rsidP="00F73957">
      <w:pPr>
        <w:ind w:leftChars="48" w:left="608" w:hangingChars="195" w:hanging="488"/>
      </w:pPr>
      <w:r>
        <w:rPr>
          <w:rFonts w:hint="eastAsia"/>
        </w:rPr>
        <w:t>（３）資金受渡金額</w:t>
      </w:r>
      <w:r w:rsidR="00B3438D" w:rsidRPr="00B3438D">
        <w:rPr>
          <w:rFonts w:hint="eastAsia"/>
        </w:rPr>
        <w:t>にかかる当座勘定からの引落が行われる</w:t>
      </w:r>
      <w:r>
        <w:rPr>
          <w:rFonts w:hint="eastAsia"/>
        </w:rPr>
        <w:t>先（以下「資金払込先」という。）の名称</w:t>
      </w:r>
    </w:p>
    <w:p w:rsidR="007D2244" w:rsidRDefault="007D2244">
      <w:pPr>
        <w:ind w:left="357" w:hanging="238"/>
      </w:pPr>
      <w:r>
        <w:rPr>
          <w:rFonts w:hint="eastAsia"/>
        </w:rPr>
        <w:t>（４）入金依頼を特定するための番号</w:t>
      </w:r>
    </w:p>
    <w:p w:rsidR="007D2244" w:rsidRDefault="007D2244">
      <w:pPr>
        <w:ind w:left="357" w:hanging="238"/>
      </w:pPr>
      <w:r>
        <w:rPr>
          <w:rFonts w:hint="eastAsia"/>
        </w:rPr>
        <w:t>（５）その他日本銀行が定める事項</w:t>
      </w:r>
    </w:p>
    <w:p w:rsidR="006512A1" w:rsidRPr="006512A1" w:rsidRDefault="006512A1" w:rsidP="006512A1">
      <w:pPr>
        <w:spacing w:line="440" w:lineRule="atLeast"/>
        <w:ind w:left="357" w:hanging="238"/>
      </w:pPr>
      <w:r w:rsidRPr="006512A1">
        <w:rPr>
          <w:rFonts w:hint="eastAsia"/>
        </w:rPr>
        <w:t>５．入金依頼にかかる入金の口座種類（当座勘定または当座勘定（同時決済口）の別をいう。以下同じ。）は、第５条第１項に規定する払込依頼または第５条の２第１項に規定する払込依頼（同時決済口）において、資金払込先が指定した口座種類と同じ口座種類とする。</w:t>
      </w:r>
    </w:p>
    <w:p w:rsidR="007D2244" w:rsidRDefault="006512A1">
      <w:pPr>
        <w:ind w:left="357" w:hanging="238"/>
      </w:pPr>
      <w:r>
        <w:rPr>
          <w:rFonts w:hint="eastAsia"/>
        </w:rPr>
        <w:t>６</w:t>
      </w:r>
      <w:r w:rsidR="007D2244">
        <w:rPr>
          <w:rFonts w:hint="eastAsia"/>
        </w:rPr>
        <w:t>．日本銀行は、入金依頼が行われた場合には、日本銀行が別に定めるところにより、当該入金依頼において通知された資金受入先および資金払込先に対し、それぞれの当座勘定</w:t>
      </w:r>
      <w:r w:rsidRPr="006512A1">
        <w:rPr>
          <w:rFonts w:hint="eastAsia"/>
        </w:rPr>
        <w:t>または当座勘定（同時決済口）</w:t>
      </w:r>
      <w:r w:rsidR="007D2244">
        <w:rPr>
          <w:rFonts w:hint="eastAsia"/>
        </w:rPr>
        <w:t>の入金または引落に関する事項を日銀ネットにより通知する。</w:t>
      </w:r>
    </w:p>
    <w:p w:rsidR="007D2244" w:rsidRDefault="006512A1">
      <w:pPr>
        <w:ind w:left="357" w:hanging="238"/>
      </w:pPr>
      <w:r>
        <w:rPr>
          <w:rFonts w:hint="eastAsia"/>
        </w:rPr>
        <w:t>７</w:t>
      </w:r>
      <w:r w:rsidR="007D2244">
        <w:rPr>
          <w:rFonts w:hint="eastAsia"/>
        </w:rPr>
        <w:t>．機構は、入金依頼を取消すことができない。</w:t>
      </w:r>
    </w:p>
    <w:p w:rsidR="007D2244" w:rsidRDefault="006512A1">
      <w:pPr>
        <w:ind w:left="357" w:hanging="238"/>
      </w:pPr>
      <w:r>
        <w:rPr>
          <w:rFonts w:hint="eastAsia"/>
        </w:rPr>
        <w:t>８</w:t>
      </w:r>
      <w:r w:rsidR="007D2244">
        <w:rPr>
          <w:rFonts w:hint="eastAsia"/>
        </w:rPr>
        <w:t>．日本銀行が別に定める時刻において、第５条第１項に規定する払込依頼</w:t>
      </w:r>
      <w:r w:rsidRPr="006512A1">
        <w:rPr>
          <w:rFonts w:hint="eastAsia"/>
        </w:rPr>
        <w:t>、第５条の２第１項に規定する払込依頼（同時決済口）</w:t>
      </w:r>
      <w:r w:rsidR="007D2244">
        <w:rPr>
          <w:rFonts w:hint="eastAsia"/>
        </w:rPr>
        <w:t>または第６条第１項に規定する払込依頼</w:t>
      </w:r>
      <w:r w:rsidR="006B6AA3">
        <w:rPr>
          <w:rFonts w:hint="eastAsia"/>
        </w:rPr>
        <w:t>等</w:t>
      </w:r>
      <w:r w:rsidR="007D2244">
        <w:rPr>
          <w:rFonts w:hint="eastAsia"/>
        </w:rPr>
        <w:t>の不実行が行われていない入金依頼は、取消されたものとみなす。</w:t>
      </w:r>
    </w:p>
    <w:p w:rsidR="007D2244" w:rsidRDefault="007D2244"/>
    <w:p w:rsidR="007D2244" w:rsidRDefault="007D2244">
      <w:pPr>
        <w:ind w:left="357" w:hanging="357"/>
      </w:pPr>
      <w:r>
        <w:rPr>
          <w:rFonts w:hint="eastAsia"/>
        </w:rPr>
        <w:t>（</w:t>
      </w:r>
      <w:r w:rsidR="007909BE" w:rsidRPr="007909BE">
        <w:rPr>
          <w:rFonts w:hint="eastAsia"/>
        </w:rPr>
        <w:t>当座勘定を指定した</w:t>
      </w:r>
      <w:r>
        <w:rPr>
          <w:rFonts w:hint="eastAsia"/>
        </w:rPr>
        <w:t>払込依頼）</w:t>
      </w:r>
    </w:p>
    <w:p w:rsidR="007D2244" w:rsidRDefault="007D2244">
      <w:pPr>
        <w:ind w:left="357" w:hanging="238"/>
      </w:pPr>
      <w:r>
        <w:rPr>
          <w:rFonts w:hint="eastAsia"/>
        </w:rPr>
        <w:t>第５条　資金払込先は、自己を資金払込先とする入金依頼が日本銀行に通知された場合には、</w:t>
      </w:r>
      <w:r w:rsidR="001B4D87" w:rsidRPr="001B4D87">
        <w:rPr>
          <w:rFonts w:hint="eastAsia"/>
        </w:rPr>
        <w:t>口座種類として当座勘定を指定して、</w:t>
      </w:r>
      <w:r>
        <w:rPr>
          <w:rFonts w:hint="eastAsia"/>
        </w:rPr>
        <w:t>自己の当座勘定から機構が当該入金依頼において日本銀行に通知した資金受渡金額を引落し、引落された資金を日本銀行に払込むことを依頼する</w:t>
      </w:r>
      <w:r w:rsidR="00A94753" w:rsidRPr="00A94753">
        <w:rPr>
          <w:rFonts w:hint="eastAsia"/>
        </w:rPr>
        <w:t>（資金払込先が日本銀行業務局である場合には、日本銀行は、振替社債等資金同時受渡にかかる日本銀行業務局の口座の引落の決定を行う。）</w:t>
      </w:r>
      <w:r>
        <w:rPr>
          <w:rFonts w:hint="eastAsia"/>
        </w:rPr>
        <w:t>こと（以下「払込依頼」という。）ができる。</w:t>
      </w:r>
    </w:p>
    <w:p w:rsidR="007D2244" w:rsidRDefault="007D2244">
      <w:pPr>
        <w:ind w:left="357" w:hanging="238"/>
      </w:pPr>
      <w:r>
        <w:rPr>
          <w:rFonts w:hint="eastAsia"/>
        </w:rPr>
        <w:t>２．払込依頼は、日銀ネットを利用して、日本銀行が別に定める時刻までに行うものとする。</w:t>
      </w:r>
    </w:p>
    <w:p w:rsidR="007D2244" w:rsidRDefault="007D2244">
      <w:pPr>
        <w:ind w:left="357" w:hanging="238"/>
      </w:pPr>
      <w:r>
        <w:rPr>
          <w:rFonts w:hint="eastAsia"/>
        </w:rPr>
        <w:t>３．資金払込先は、払込依頼を取消すことができない。</w:t>
      </w:r>
    </w:p>
    <w:p w:rsidR="000004A6" w:rsidRDefault="000004A6">
      <w:pPr>
        <w:ind w:left="357" w:hanging="238"/>
      </w:pPr>
    </w:p>
    <w:p w:rsidR="000004A6" w:rsidRPr="000004A6" w:rsidRDefault="000004A6" w:rsidP="000004A6">
      <w:pPr>
        <w:ind w:left="357" w:hanging="357"/>
      </w:pPr>
      <w:r w:rsidRPr="000004A6">
        <w:rPr>
          <w:rFonts w:hint="eastAsia"/>
        </w:rPr>
        <w:t>（当座勘定（同時決済口）を指定した払込依頼）</w:t>
      </w:r>
    </w:p>
    <w:p w:rsidR="000004A6" w:rsidRPr="000004A6" w:rsidRDefault="000004A6" w:rsidP="000004A6">
      <w:pPr>
        <w:ind w:left="357" w:hanging="238"/>
      </w:pPr>
      <w:r w:rsidRPr="000004A6">
        <w:rPr>
          <w:rFonts w:hint="eastAsia"/>
        </w:rPr>
        <w:t>第５条の２　資金払込先は、自己を資金払込先とする入金依頼が日本銀行に通知された場合には、口座種類として当座勘定(同時決済口)を指定して、自己の当座勘定（同時決済口）から機構が当該入金依頼において日本銀行に通知した資金受渡金額を引落し、引落された資金を日本銀行に払込むことを依頼すること（以下「払込依頼（同時決済口）」という。）ができる。</w:t>
      </w:r>
    </w:p>
    <w:p w:rsidR="000004A6" w:rsidRPr="000004A6" w:rsidRDefault="000004A6" w:rsidP="000004A6">
      <w:pPr>
        <w:ind w:left="357" w:hanging="238"/>
      </w:pPr>
      <w:r w:rsidRPr="000004A6">
        <w:rPr>
          <w:rFonts w:hint="eastAsia"/>
        </w:rPr>
        <w:t>２．資金払込先は、払込依頼（同時決済口）を行う場合には、優先度として、優先または通常のいずれかを指定するものとする。</w:t>
      </w:r>
    </w:p>
    <w:p w:rsidR="000004A6" w:rsidRPr="000004A6" w:rsidRDefault="000004A6" w:rsidP="000004A6">
      <w:pPr>
        <w:ind w:left="357" w:hanging="238"/>
      </w:pPr>
      <w:r w:rsidRPr="000004A6">
        <w:rPr>
          <w:rFonts w:hint="eastAsia"/>
        </w:rPr>
        <w:t>３．払込依頼（同時決済口）は、日銀ネットを利用して、日本銀行が別に定める時刻までに行うものとする。</w:t>
      </w:r>
    </w:p>
    <w:p w:rsidR="007D2244" w:rsidRPr="000004A6" w:rsidRDefault="007D2244"/>
    <w:p w:rsidR="007D2244" w:rsidRDefault="007D2244">
      <w:pPr>
        <w:ind w:left="357" w:hanging="357"/>
      </w:pPr>
      <w:r>
        <w:rPr>
          <w:rFonts w:hint="eastAsia"/>
        </w:rPr>
        <w:t>（払込依頼</w:t>
      </w:r>
      <w:r w:rsidR="0068449D">
        <w:rPr>
          <w:rFonts w:hint="eastAsia"/>
        </w:rPr>
        <w:t>等</w:t>
      </w:r>
      <w:r>
        <w:rPr>
          <w:rFonts w:hint="eastAsia"/>
        </w:rPr>
        <w:t>の不実行）</w:t>
      </w:r>
    </w:p>
    <w:p w:rsidR="007D2244" w:rsidRDefault="007D2244">
      <w:pPr>
        <w:ind w:left="357" w:hanging="238"/>
      </w:pPr>
      <w:r>
        <w:rPr>
          <w:rFonts w:hint="eastAsia"/>
        </w:rPr>
        <w:t>第６条　資金払込先は、自己を資金払込先とする入金依頼が日本銀行に通知された場合には、日本銀行に払込依頼</w:t>
      </w:r>
      <w:r w:rsidR="00A55124" w:rsidRPr="00A55124">
        <w:rPr>
          <w:rFonts w:hint="eastAsia"/>
        </w:rPr>
        <w:t>および払込依頼（同時決済口）</w:t>
      </w:r>
      <w:r>
        <w:rPr>
          <w:rFonts w:hint="eastAsia"/>
        </w:rPr>
        <w:t>を行わないこと（以下「払込依頼</w:t>
      </w:r>
      <w:r w:rsidR="00A55124">
        <w:rPr>
          <w:rFonts w:hint="eastAsia"/>
        </w:rPr>
        <w:t>等</w:t>
      </w:r>
      <w:r>
        <w:rPr>
          <w:rFonts w:hint="eastAsia"/>
        </w:rPr>
        <w:t>の不実行」という</w:t>
      </w:r>
      <w:r w:rsidR="00A55124">
        <w:rPr>
          <w:rFonts w:hint="eastAsia"/>
        </w:rPr>
        <w:t>。</w:t>
      </w:r>
      <w:r>
        <w:rPr>
          <w:rFonts w:hint="eastAsia"/>
        </w:rPr>
        <w:t>）を通知することができる。</w:t>
      </w:r>
    </w:p>
    <w:p w:rsidR="007D2244" w:rsidRDefault="007D2244">
      <w:pPr>
        <w:ind w:left="357" w:hanging="238"/>
      </w:pPr>
      <w:r>
        <w:rPr>
          <w:rFonts w:hint="eastAsia"/>
        </w:rPr>
        <w:t>２．払込依頼</w:t>
      </w:r>
      <w:r w:rsidR="00A55124">
        <w:rPr>
          <w:rFonts w:hint="eastAsia"/>
        </w:rPr>
        <w:t>等</w:t>
      </w:r>
      <w:r>
        <w:rPr>
          <w:rFonts w:hint="eastAsia"/>
        </w:rPr>
        <w:t>の不実行は、日銀ネットを利用して、日本銀行が別に定める時刻までに行うものとする。</w:t>
      </w:r>
    </w:p>
    <w:p w:rsidR="007D2244" w:rsidRDefault="007D2244">
      <w:pPr>
        <w:ind w:left="357" w:hanging="238"/>
      </w:pPr>
      <w:r>
        <w:rPr>
          <w:rFonts w:hint="eastAsia"/>
        </w:rPr>
        <w:t>３．資金払込先は、払込依頼</w:t>
      </w:r>
      <w:r w:rsidR="00A55124">
        <w:rPr>
          <w:rFonts w:hint="eastAsia"/>
        </w:rPr>
        <w:t>等</w:t>
      </w:r>
      <w:r>
        <w:rPr>
          <w:rFonts w:hint="eastAsia"/>
        </w:rPr>
        <w:t>の不実行を取消すことができない。</w:t>
      </w:r>
    </w:p>
    <w:p w:rsidR="007D2244" w:rsidRDefault="007D2244">
      <w:pPr>
        <w:ind w:left="357" w:hanging="238"/>
      </w:pPr>
      <w:r>
        <w:rPr>
          <w:rFonts w:hint="eastAsia"/>
        </w:rPr>
        <w:t>４．払込依頼</w:t>
      </w:r>
      <w:r w:rsidR="00A55124">
        <w:rPr>
          <w:rFonts w:hint="eastAsia"/>
        </w:rPr>
        <w:t>等</w:t>
      </w:r>
      <w:r>
        <w:rPr>
          <w:rFonts w:hint="eastAsia"/>
        </w:rPr>
        <w:t>の不実行</w:t>
      </w:r>
      <w:r w:rsidR="004B21E0">
        <w:rPr>
          <w:rFonts w:hint="eastAsia"/>
        </w:rPr>
        <w:t>が行われた</w:t>
      </w:r>
      <w:r>
        <w:rPr>
          <w:rFonts w:hint="eastAsia"/>
        </w:rPr>
        <w:t>場合には、当該払込依頼</w:t>
      </w:r>
      <w:r w:rsidR="00A55124">
        <w:rPr>
          <w:rFonts w:hint="eastAsia"/>
        </w:rPr>
        <w:t>等</w:t>
      </w:r>
      <w:r>
        <w:rPr>
          <w:rFonts w:hint="eastAsia"/>
        </w:rPr>
        <w:t>の不実行により特定される入金依頼は取消されたものとみなす。</w:t>
      </w:r>
    </w:p>
    <w:p w:rsidR="007D2244" w:rsidRDefault="007D2244"/>
    <w:p w:rsidR="007D2244" w:rsidRDefault="007D2244">
      <w:pPr>
        <w:ind w:left="357" w:hanging="357"/>
      </w:pPr>
      <w:r>
        <w:rPr>
          <w:rFonts w:hint="eastAsia"/>
        </w:rPr>
        <w:t>（当座勘定</w:t>
      </w:r>
      <w:r w:rsidR="00FE6D14" w:rsidRPr="00FE6D14">
        <w:rPr>
          <w:rFonts w:hint="eastAsia"/>
        </w:rPr>
        <w:t>または当座勘定（同時決済口）</w:t>
      </w:r>
      <w:r>
        <w:rPr>
          <w:rFonts w:hint="eastAsia"/>
        </w:rPr>
        <w:t>の入金および引落を行わない場合）</w:t>
      </w:r>
    </w:p>
    <w:p w:rsidR="007D2244" w:rsidRDefault="007D2244">
      <w:pPr>
        <w:ind w:left="357" w:hanging="238"/>
      </w:pPr>
      <w:r>
        <w:rPr>
          <w:rFonts w:hint="eastAsia"/>
        </w:rPr>
        <w:t>第７条　日本銀行は、次の各号の一に該当する場合には、入金依頼に基づく資金受入先の当座勘定</w:t>
      </w:r>
      <w:r w:rsidR="00FE6D14" w:rsidRPr="00FE6D14">
        <w:rPr>
          <w:rFonts w:hint="eastAsia"/>
        </w:rPr>
        <w:t>または当座勘定（同時決済口）</w:t>
      </w:r>
      <w:r>
        <w:rPr>
          <w:rFonts w:hint="eastAsia"/>
        </w:rPr>
        <w:t>への資金受渡金額の入金および当該入金依頼において通知された資金払込先の当座勘定</w:t>
      </w:r>
      <w:r w:rsidR="00832F82" w:rsidRPr="00832F82">
        <w:rPr>
          <w:rFonts w:hint="eastAsia"/>
        </w:rPr>
        <w:t>または当座勘定（同時決済口）</w:t>
      </w:r>
      <w:r>
        <w:rPr>
          <w:rFonts w:hint="eastAsia"/>
        </w:rPr>
        <w:t>からの当該入金依頼において通知された資金受渡金額の引落を行わない。</w:t>
      </w:r>
    </w:p>
    <w:p w:rsidR="007D2244" w:rsidRDefault="007D2244" w:rsidP="001F37CD">
      <w:pPr>
        <w:ind w:leftChars="48" w:left="608" w:hangingChars="195" w:hanging="488"/>
      </w:pPr>
      <w:r>
        <w:rPr>
          <w:rFonts w:hint="eastAsia"/>
        </w:rPr>
        <w:t>（１）第４条第</w:t>
      </w:r>
      <w:r w:rsidR="00C90A25">
        <w:rPr>
          <w:rFonts w:ascii="ＭＳ 明朝" w:hAnsi="ＭＳ 明朝" w:hint="eastAsia"/>
        </w:rPr>
        <w:t>８</w:t>
      </w:r>
      <w:r>
        <w:rPr>
          <w:rFonts w:hint="eastAsia"/>
        </w:rPr>
        <w:t>項の規定により</w:t>
      </w:r>
      <w:r w:rsidR="00C90A25">
        <w:rPr>
          <w:rFonts w:hint="eastAsia"/>
        </w:rPr>
        <w:t>当該</w:t>
      </w:r>
      <w:r>
        <w:rPr>
          <w:rFonts w:hint="eastAsia"/>
        </w:rPr>
        <w:t>入金依頼が取消された</w:t>
      </w:r>
      <w:r w:rsidR="004B21E0">
        <w:rPr>
          <w:rFonts w:hint="eastAsia"/>
        </w:rPr>
        <w:t>ものとみなされる</w:t>
      </w:r>
      <w:r>
        <w:rPr>
          <w:rFonts w:hint="eastAsia"/>
        </w:rPr>
        <w:t>場合。</w:t>
      </w:r>
    </w:p>
    <w:p w:rsidR="007D2244" w:rsidRDefault="007D2244" w:rsidP="00C90A25">
      <w:pPr>
        <w:ind w:leftChars="48" w:left="608" w:hangingChars="195" w:hanging="488"/>
      </w:pPr>
      <w:r>
        <w:rPr>
          <w:rFonts w:hint="eastAsia"/>
        </w:rPr>
        <w:t>（２）当該資金払込先が</w:t>
      </w:r>
      <w:r w:rsidR="00C90A25" w:rsidRPr="00C90A25">
        <w:rPr>
          <w:rFonts w:hint="eastAsia"/>
        </w:rPr>
        <w:t>、日本銀行が別に定める時刻までに</w:t>
      </w:r>
      <w:r>
        <w:rPr>
          <w:rFonts w:hint="eastAsia"/>
        </w:rPr>
        <w:t>払込依頼を行わない場合。</w:t>
      </w:r>
    </w:p>
    <w:p w:rsidR="00C90A25" w:rsidRPr="00C90A25" w:rsidRDefault="00C90A25" w:rsidP="00272615">
      <w:pPr>
        <w:ind w:leftChars="48" w:left="608" w:hangingChars="195" w:hanging="488"/>
      </w:pPr>
      <w:r w:rsidRPr="00C90A25">
        <w:rPr>
          <w:rFonts w:hint="eastAsia"/>
        </w:rPr>
        <w:t>（３）当該資金払込先が、日本銀行が別に定める時刻までに払込依頼（同時決済口）を行わない場合（当該資金払込先が当座勘定（同時決済口）に関する規則（以下「同時決済口規則」という。）第９条第６項の規定により払込依頼（同時決済口）の取消を行った場合を含む。）。</w:t>
      </w:r>
    </w:p>
    <w:p w:rsidR="007D2244" w:rsidRDefault="007D2244" w:rsidP="001F37CD">
      <w:pPr>
        <w:ind w:leftChars="48" w:left="608" w:hangingChars="195" w:hanging="488"/>
      </w:pPr>
      <w:r>
        <w:rPr>
          <w:rFonts w:hint="eastAsia"/>
        </w:rPr>
        <w:t>（</w:t>
      </w:r>
      <w:r w:rsidR="00571E4F">
        <w:rPr>
          <w:rFonts w:hint="eastAsia"/>
        </w:rPr>
        <w:t>４</w:t>
      </w:r>
      <w:r>
        <w:rPr>
          <w:rFonts w:hint="eastAsia"/>
        </w:rPr>
        <w:t>）当該資金払込先が払込依頼</w:t>
      </w:r>
      <w:r w:rsidR="00571E4F">
        <w:rPr>
          <w:rFonts w:hint="eastAsia"/>
        </w:rPr>
        <w:t>等</w:t>
      </w:r>
      <w:r>
        <w:rPr>
          <w:rFonts w:hint="eastAsia"/>
        </w:rPr>
        <w:t>の不実行を行った場合。</w:t>
      </w:r>
    </w:p>
    <w:p w:rsidR="007D2244" w:rsidRDefault="007D2244" w:rsidP="001F37CD">
      <w:pPr>
        <w:ind w:leftChars="48" w:left="608" w:hangingChars="195" w:hanging="488"/>
      </w:pPr>
      <w:r>
        <w:rPr>
          <w:rFonts w:hint="eastAsia"/>
        </w:rPr>
        <w:t>（</w:t>
      </w:r>
      <w:r w:rsidR="00062310">
        <w:rPr>
          <w:rFonts w:hint="eastAsia"/>
        </w:rPr>
        <w:t>５</w:t>
      </w:r>
      <w:r>
        <w:rPr>
          <w:rFonts w:hint="eastAsia"/>
        </w:rPr>
        <w:t>）</w:t>
      </w:r>
      <w:r w:rsidR="00062310" w:rsidRPr="00062310">
        <w:rPr>
          <w:rFonts w:hint="eastAsia"/>
        </w:rPr>
        <w:t>当該資金払込先が払込依頼を行い、</w:t>
      </w:r>
      <w:r>
        <w:rPr>
          <w:rFonts w:hint="eastAsia"/>
        </w:rPr>
        <w:t>当該入金依頼において通知された資金受渡金額が当該資金払込先の当座勘定の引落資金の額を超える場合。</w:t>
      </w:r>
    </w:p>
    <w:p w:rsidR="00062310" w:rsidRPr="00062310" w:rsidRDefault="00062310" w:rsidP="00272615">
      <w:pPr>
        <w:ind w:leftChars="48" w:left="608" w:hangingChars="195" w:hanging="488"/>
      </w:pPr>
      <w:r w:rsidRPr="00062310">
        <w:rPr>
          <w:rFonts w:hint="eastAsia"/>
        </w:rPr>
        <w:t>（６）当該資金払込先が払込依頼（同時決済口）を行い、同時決済口規則第１１条第１項の規定により当該払込依頼（同時決済口）が待ち行列に待機した場合。</w:t>
      </w:r>
    </w:p>
    <w:p w:rsidR="00062310" w:rsidRPr="00062310" w:rsidRDefault="00062310" w:rsidP="00272615">
      <w:pPr>
        <w:ind w:leftChars="48" w:left="608" w:hangingChars="195" w:hanging="488"/>
      </w:pPr>
      <w:r w:rsidRPr="00062310">
        <w:rPr>
          <w:rFonts w:hint="eastAsia"/>
        </w:rPr>
        <w:t>（７）同時決済口規則第１４条の規定により払込依頼（同時決済口）が取消されたものとみなされた場合。</w:t>
      </w:r>
    </w:p>
    <w:p w:rsidR="007D2244" w:rsidRPr="00062310" w:rsidRDefault="007D2244"/>
    <w:p w:rsidR="007D2244" w:rsidRDefault="007D2244">
      <w:pPr>
        <w:ind w:left="357" w:hanging="357"/>
      </w:pPr>
      <w:r>
        <w:rPr>
          <w:rFonts w:hint="eastAsia"/>
        </w:rPr>
        <w:t>（事務処理の通知）</w:t>
      </w:r>
    </w:p>
    <w:p w:rsidR="007D2244" w:rsidRDefault="007D2244">
      <w:pPr>
        <w:ind w:left="357" w:hanging="238"/>
      </w:pPr>
      <w:r>
        <w:rPr>
          <w:rFonts w:hint="eastAsia"/>
        </w:rPr>
        <w:t>第８条　日本銀行は、資金受入・払込先の当座勘定</w:t>
      </w:r>
      <w:r w:rsidR="00DA3F7D" w:rsidRPr="00DA3F7D">
        <w:rPr>
          <w:rFonts w:hint="eastAsia"/>
        </w:rPr>
        <w:t>または当座勘定（同時決済口）</w:t>
      </w:r>
      <w:r>
        <w:rPr>
          <w:rFonts w:hint="eastAsia"/>
        </w:rPr>
        <w:t>の入金または引落を行</w:t>
      </w:r>
      <w:r w:rsidR="00565EEF">
        <w:rPr>
          <w:rFonts w:hint="eastAsia"/>
        </w:rPr>
        <w:t>った</w:t>
      </w:r>
      <w:r>
        <w:rPr>
          <w:rFonts w:hint="eastAsia"/>
        </w:rPr>
        <w:t>場合その他の場合において、日本銀行が別に定めるときは、当該資金受入・払込先</w:t>
      </w:r>
      <w:r w:rsidR="00565EEF">
        <w:rPr>
          <w:rFonts w:hint="eastAsia"/>
        </w:rPr>
        <w:t>および機構</w:t>
      </w:r>
      <w:r>
        <w:rPr>
          <w:rFonts w:hint="eastAsia"/>
        </w:rPr>
        <w:t>に対し、日銀ネットによりその旨を通知する。</w:t>
      </w:r>
    </w:p>
    <w:p w:rsidR="007D2244" w:rsidRDefault="007D2244">
      <w:pPr>
        <w:ind w:left="357" w:hanging="238"/>
      </w:pPr>
      <w:r>
        <w:rPr>
          <w:rFonts w:hint="eastAsia"/>
        </w:rPr>
        <w:t>２．資金受入・払込先は、前項の規定による通知の内容について異議のある場合には、直ちに日本銀行にその旨を通知するものとする。</w:t>
      </w:r>
    </w:p>
    <w:p w:rsidR="007D2244" w:rsidRDefault="007D2244"/>
    <w:p w:rsidR="007D2244" w:rsidRDefault="007D2244">
      <w:pPr>
        <w:ind w:left="357" w:hanging="357"/>
      </w:pPr>
      <w:r>
        <w:rPr>
          <w:rFonts w:hint="eastAsia"/>
        </w:rPr>
        <w:t>（照会）</w:t>
      </w:r>
    </w:p>
    <w:p w:rsidR="007D2244" w:rsidRDefault="007D2244">
      <w:pPr>
        <w:ind w:left="357" w:hanging="238"/>
      </w:pPr>
      <w:r>
        <w:rPr>
          <w:rFonts w:hint="eastAsia"/>
        </w:rPr>
        <w:t>第９条　資金受入・払込先は、その振替社債等資金同時受渡関係事務に関する事項で日本銀行が別に定めるものについては、日銀ネットを利用して照会することができる。</w:t>
      </w:r>
    </w:p>
    <w:p w:rsidR="007D2244" w:rsidRDefault="007D2244"/>
    <w:p w:rsidR="007D2244" w:rsidRDefault="007D2244">
      <w:pPr>
        <w:ind w:left="357" w:hanging="357"/>
        <w:rPr>
          <w:rFonts w:ascii="‚l‚r –¾’©"/>
        </w:rPr>
      </w:pPr>
      <w:r>
        <w:rPr>
          <w:rFonts w:hint="eastAsia"/>
        </w:rPr>
        <w:t>（日銀ネット利用手数料の支払義務）</w:t>
      </w:r>
    </w:p>
    <w:p w:rsidR="007D2244" w:rsidRDefault="007D2244">
      <w:pPr>
        <w:ind w:left="357" w:hanging="238"/>
      </w:pPr>
      <w:r>
        <w:rPr>
          <w:rFonts w:hint="eastAsia"/>
        </w:rPr>
        <w:t>第１０条　機構および資金受入・払込者（資金受入・払込先がその営業所等である金融機関等をいう。以下同じ。）は、振替社債等資金同時受渡関係事務についての日銀ネットの利用に関して日本銀行が別に定める手数料を、日本銀行が別に定める方法により支払うものとする。</w:t>
      </w:r>
    </w:p>
    <w:p w:rsidR="007D2244" w:rsidRDefault="007D2244"/>
    <w:p w:rsidR="007D2244" w:rsidRDefault="007D2244">
      <w:pPr>
        <w:ind w:left="357" w:hanging="357"/>
      </w:pPr>
      <w:r>
        <w:rPr>
          <w:rFonts w:hint="eastAsia"/>
        </w:rPr>
        <w:t>（免責）</w:t>
      </w:r>
    </w:p>
    <w:p w:rsidR="007D2244" w:rsidRDefault="007D2244">
      <w:pPr>
        <w:ind w:left="357" w:hanging="238"/>
        <w:rPr>
          <w:rFonts w:ascii="‚l‚r –¾’©"/>
        </w:rPr>
      </w:pPr>
      <w:r>
        <w:rPr>
          <w:rFonts w:hint="eastAsia"/>
        </w:rPr>
        <w:t>第１１条　日本銀行が相当の注意をもってその受付けた書類の印影または署名を第３条の規定により機構が届出た印鑑または署名鑑と相違ないものとして認めた場合には、当該機構が当該書類により届出または願出を行ったものとみなす。</w:t>
      </w:r>
    </w:p>
    <w:p w:rsidR="007D2244" w:rsidRDefault="007D2244">
      <w:pPr>
        <w:ind w:left="357" w:hanging="238"/>
        <w:rPr>
          <w:rFonts w:ascii="‚l‚r –¾’©"/>
        </w:rPr>
      </w:pPr>
      <w:r>
        <w:rPr>
          <w:rFonts w:hint="eastAsia"/>
        </w:rPr>
        <w:t>２．前項の場合において、日本銀行は当該書類について偽造、変造その他の事故があったために生じた損害については、責任を負わない。</w:t>
      </w:r>
    </w:p>
    <w:p w:rsidR="007D2244" w:rsidRDefault="007D2244">
      <w:pPr>
        <w:ind w:left="357" w:hanging="238"/>
      </w:pPr>
      <w:r>
        <w:rPr>
          <w:rFonts w:hint="eastAsia"/>
        </w:rPr>
        <w:t>３．日本銀行は、機構または資金受入・払込者がこの規則または次条の規定により日本銀行が指示した事項もしくは第１３条の規定により日本銀行が定めた事項に違反したために生じた損害については、責任を負わない。</w:t>
      </w:r>
    </w:p>
    <w:p w:rsidR="007D2244" w:rsidRDefault="007D2244"/>
    <w:p w:rsidR="007D2244" w:rsidRDefault="007D2244">
      <w:pPr>
        <w:ind w:left="357" w:hanging="357"/>
        <w:rPr>
          <w:rFonts w:ascii="‚l‚r –¾’©"/>
        </w:rPr>
      </w:pPr>
      <w:r>
        <w:rPr>
          <w:rFonts w:hint="eastAsia"/>
        </w:rPr>
        <w:t>（日銀ネット障害時等の取扱い）</w:t>
      </w:r>
    </w:p>
    <w:p w:rsidR="007D2244" w:rsidRDefault="007D2244">
      <w:pPr>
        <w:ind w:left="357" w:hanging="238"/>
      </w:pPr>
      <w:r>
        <w:rPr>
          <w:rFonts w:hint="eastAsia"/>
        </w:rPr>
        <w:t>第１２条　日本銀行は、日銀ネットの障害等によりこの規則の規定による取扱いができないと認めた場合には、この規則の規定と異なる取扱いをし、または機構および資金受入・払込者にこの規則の規定と異なる取扱いを指示することができる。</w:t>
      </w:r>
    </w:p>
    <w:p w:rsidR="007D2244" w:rsidRDefault="007D2244"/>
    <w:p w:rsidR="007D2244" w:rsidRDefault="007D2244">
      <w:pPr>
        <w:ind w:left="357" w:hanging="357"/>
        <w:rPr>
          <w:rFonts w:ascii="‚l‚r –¾’©"/>
        </w:rPr>
      </w:pPr>
      <w:r>
        <w:rPr>
          <w:rFonts w:hint="eastAsia"/>
        </w:rPr>
        <w:t>（所要事項の決定等）</w:t>
      </w:r>
    </w:p>
    <w:p w:rsidR="007D2244" w:rsidRDefault="007D2244">
      <w:pPr>
        <w:ind w:left="357" w:hanging="238"/>
      </w:pPr>
      <w:r>
        <w:rPr>
          <w:rFonts w:hint="eastAsia"/>
        </w:rPr>
        <w:t>第１３条　日本銀行は、振替社債等資金同時受渡関係事務についての日銀ネットの適切な運営を確保するため、この規則に定めるもののほか、所要の事項を定め、または所要の措置を講ずることができる。</w:t>
      </w:r>
    </w:p>
    <w:p w:rsidR="007D2244" w:rsidRDefault="007D2244">
      <w:pPr>
        <w:ind w:left="357" w:hanging="238"/>
      </w:pPr>
    </w:p>
    <w:p w:rsidR="007D2244" w:rsidRDefault="007D2244">
      <w:pPr>
        <w:ind w:left="357" w:hanging="238"/>
        <w:rPr>
          <w:rFonts w:ascii="‚l‚r –¾’©"/>
        </w:rPr>
      </w:pPr>
      <w:r>
        <w:rPr>
          <w:rFonts w:hint="eastAsia"/>
        </w:rPr>
        <w:t>（解約等）</w:t>
      </w:r>
    </w:p>
    <w:p w:rsidR="007D2244" w:rsidRDefault="007D2244">
      <w:pPr>
        <w:ind w:left="357" w:hanging="238"/>
        <w:rPr>
          <w:rFonts w:ascii="‚l‚r –¾’©"/>
        </w:rPr>
      </w:pPr>
      <w:r>
        <w:rPr>
          <w:rFonts w:hint="eastAsia"/>
        </w:rPr>
        <w:t>第１４条　日本銀行、機構または資金受入・払込者は、２か月の予告期間をもって、振替社債等資金同時受渡関係事務についての日銀ネットの利用に関する約定を解約することができる。当該解約のための意思表示は、書面により行うものとする。</w:t>
      </w:r>
    </w:p>
    <w:p w:rsidR="007D2244" w:rsidRDefault="007D2244">
      <w:pPr>
        <w:ind w:left="357" w:hanging="238"/>
        <w:rPr>
          <w:rFonts w:ascii="‚l‚r –¾’©"/>
        </w:rPr>
      </w:pPr>
      <w:r>
        <w:rPr>
          <w:rFonts w:hint="eastAsia"/>
        </w:rPr>
        <w:t>２．日本銀行は、次の各号の一に該当する場合には、直ちに機構もしくは当該資金受入・払込者との振替社債等資金同時受渡関係事務についての日銀ネットの利用に関する約定の全部もしくは一部を解約し、または機構もしくは当該資金受入・払込者による振替社債等資金同時受渡関係事務についての日銀ネットの利用の全部もしくは一部を一定期間制限することができる。</w:t>
      </w:r>
    </w:p>
    <w:p w:rsidR="007D2244" w:rsidRDefault="007D2244">
      <w:pPr>
        <w:ind w:left="357" w:hanging="238"/>
        <w:rPr>
          <w:rFonts w:ascii="‚l‚r –¾’©"/>
        </w:rPr>
      </w:pPr>
      <w:r>
        <w:rPr>
          <w:rFonts w:hint="eastAsia"/>
        </w:rPr>
        <w:t>（１）機構または資金受入・払込者がこの規則に違反した場合。</w:t>
      </w:r>
    </w:p>
    <w:p w:rsidR="007D2244" w:rsidRDefault="007D2244" w:rsidP="001F37CD">
      <w:pPr>
        <w:ind w:leftChars="48" w:left="608" w:hangingChars="195" w:hanging="488"/>
        <w:rPr>
          <w:rFonts w:ascii="‚l‚r –¾’©"/>
        </w:rPr>
      </w:pPr>
      <w:r>
        <w:rPr>
          <w:rFonts w:hint="eastAsia"/>
        </w:rPr>
        <w:t>（２）機構または資金受入・払込者が第１２条の規定により日本銀行が指示した事項に違反した場合。</w:t>
      </w:r>
    </w:p>
    <w:p w:rsidR="007D2244" w:rsidRDefault="007D2244" w:rsidP="001F37CD">
      <w:pPr>
        <w:ind w:leftChars="48" w:left="608" w:hangingChars="195" w:hanging="488"/>
        <w:rPr>
          <w:rFonts w:ascii="‚l‚r –¾’©"/>
        </w:rPr>
      </w:pPr>
      <w:r>
        <w:rPr>
          <w:rFonts w:hint="eastAsia"/>
        </w:rPr>
        <w:t>（３）機構または資金受入・払込者が前条の規定により日本銀行が定めた事項に違反した場合。</w:t>
      </w:r>
    </w:p>
    <w:p w:rsidR="007D2244" w:rsidRDefault="007D2244" w:rsidP="001F37CD">
      <w:pPr>
        <w:ind w:leftChars="48" w:left="608" w:hangingChars="195" w:hanging="488"/>
        <w:rPr>
          <w:rFonts w:ascii="‚l‚r –¾’©"/>
        </w:rPr>
      </w:pPr>
      <w:r>
        <w:rPr>
          <w:rFonts w:hint="eastAsia"/>
        </w:rPr>
        <w:t>（４）機構または資金受入・払込者が日本銀行金融ネットワークシステム利用基本規則（以下「利用基本規則」という。）に違反した場合。</w:t>
      </w:r>
    </w:p>
    <w:p w:rsidR="007D2244" w:rsidRDefault="007D2244" w:rsidP="001F37CD">
      <w:pPr>
        <w:ind w:leftChars="48" w:left="608" w:hangingChars="195" w:hanging="488"/>
        <w:rPr>
          <w:rFonts w:ascii="‚l‚r –¾’©"/>
        </w:rPr>
      </w:pPr>
      <w:r>
        <w:rPr>
          <w:rFonts w:hint="eastAsia"/>
        </w:rPr>
        <w:t>（５）機構または資金受入・払込者が利用基本規則第１０条の規定により日本銀行が指示した事項に違反した場合。</w:t>
      </w:r>
    </w:p>
    <w:p w:rsidR="007D2244" w:rsidRDefault="007D2244" w:rsidP="001F37CD">
      <w:pPr>
        <w:ind w:leftChars="48" w:left="608" w:hangingChars="195" w:hanging="488"/>
        <w:rPr>
          <w:rFonts w:ascii="‚l‚r –¾’©"/>
        </w:rPr>
      </w:pPr>
      <w:r>
        <w:rPr>
          <w:rFonts w:hint="eastAsia"/>
        </w:rPr>
        <w:t>（６）機構または資金受入・払込者が利用基本規則第１１条の規定により日本銀行が定めた事項に違反した場合。</w:t>
      </w:r>
    </w:p>
    <w:p w:rsidR="007D2244" w:rsidRDefault="007D2244" w:rsidP="001F37CD">
      <w:pPr>
        <w:ind w:leftChars="48" w:left="608" w:hangingChars="195" w:hanging="488"/>
      </w:pPr>
      <w:r>
        <w:rPr>
          <w:rFonts w:hint="eastAsia"/>
        </w:rPr>
        <w:t>（７）資金受入・払込者が当座勘定規定第１９条第２項各号</w:t>
      </w:r>
      <w:r w:rsidR="00DA3F7D" w:rsidRPr="00DA3F7D">
        <w:rPr>
          <w:rFonts w:hint="eastAsia"/>
        </w:rPr>
        <w:t>または同時決済口規則第２４条第２項各号</w:t>
      </w:r>
      <w:r>
        <w:rPr>
          <w:rFonts w:hint="eastAsia"/>
        </w:rPr>
        <w:t>に掲げるいずれかに該当する場合。</w:t>
      </w:r>
    </w:p>
    <w:p w:rsidR="007D2244" w:rsidRDefault="007D2244" w:rsidP="001F37CD">
      <w:pPr>
        <w:ind w:leftChars="48" w:left="608" w:hangingChars="195" w:hanging="488"/>
      </w:pPr>
      <w:r>
        <w:rPr>
          <w:rFonts w:hint="eastAsia"/>
        </w:rPr>
        <w:t>（８）その他振替社債等資金同時受渡関係事務の円滑な運営を阻害するおそれがあると日本銀行が認めた場合。</w:t>
      </w:r>
    </w:p>
    <w:p w:rsidR="007D2244" w:rsidRDefault="007D2244">
      <w:pPr>
        <w:ind w:left="357" w:hanging="238"/>
      </w:pPr>
      <w:r>
        <w:rPr>
          <w:rFonts w:hint="eastAsia"/>
        </w:rPr>
        <w:t>３．日本銀行は、第１項の規定により日本銀行または資金受入・払込者が振替社債等資金同時受渡関係事務についての日銀ネットの利用に関する約定を解約する場合、前項の規定により日本銀行が資金受入・払込者との振替社債等資金同時受渡関係事務についての日銀ネットの利用に関する約定の全部または一部を解約する場合および前項の規定により日本銀行が資金受入・払込者による振替社債等資金同時受渡関係事務についての日銀ネットの利用の全部または一部を一定期間制限する場合には、機構に遅滞なくその旨を通知する。</w:t>
      </w:r>
    </w:p>
    <w:p w:rsidR="007D2244" w:rsidRDefault="007D2244">
      <w:pPr>
        <w:ind w:left="357" w:hanging="238"/>
      </w:pPr>
    </w:p>
    <w:p w:rsidR="007D2244" w:rsidRDefault="007D2244">
      <w:pPr>
        <w:ind w:left="357" w:hanging="238"/>
        <w:rPr>
          <w:rFonts w:ascii="‚l‚r –¾’©"/>
        </w:rPr>
      </w:pPr>
      <w:r>
        <w:rPr>
          <w:rFonts w:hint="eastAsia"/>
        </w:rPr>
        <w:t>（規則の改正）</w:t>
      </w:r>
    </w:p>
    <w:p w:rsidR="007D2244" w:rsidRDefault="007D2244">
      <w:pPr>
        <w:ind w:left="357" w:hanging="238"/>
      </w:pPr>
      <w:r>
        <w:rPr>
          <w:rFonts w:hint="eastAsia"/>
        </w:rPr>
        <w:t>第１５条　日本銀行は、振替社債等資金同時受渡関係事務についての日銀ネットの適切な運営を確保するため、必要がある場合には、この規則を改正することができる。</w:t>
      </w:r>
    </w:p>
    <w:p w:rsidR="00493263" w:rsidRPr="00493263" w:rsidRDefault="00493263" w:rsidP="001E6D4C">
      <w:pPr>
        <w:tabs>
          <w:tab w:val="left" w:pos="1770"/>
        </w:tabs>
        <w:ind w:right="1000"/>
      </w:pPr>
    </w:p>
    <w:sectPr w:rsidR="00493263" w:rsidRPr="00493263" w:rsidSect="00FA3F5C">
      <w:headerReference w:type="even" r:id="rId8"/>
      <w:headerReference w:type="default" r:id="rId9"/>
      <w:footerReference w:type="even" r:id="rId10"/>
      <w:footerReference w:type="default" r:id="rId11"/>
      <w:headerReference w:type="first" r:id="rId12"/>
      <w:footerReference w:type="first" r:id="rId13"/>
      <w:pgSz w:w="11906" w:h="16838" w:code="9"/>
      <w:pgMar w:top="1701" w:right="1466" w:bottom="1701"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42" w:rsidRDefault="00343042">
      <w:pPr>
        <w:spacing w:line="240" w:lineRule="auto"/>
      </w:pPr>
      <w:r>
        <w:separator/>
      </w:r>
    </w:p>
  </w:endnote>
  <w:endnote w:type="continuationSeparator" w:id="0">
    <w:p w:rsidR="00343042" w:rsidRDefault="0034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DB" w:rsidRDefault="003273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90" w:rsidRDefault="00535890" w:rsidP="00535890">
    <w:pPr>
      <w:pStyle w:val="a6"/>
      <w:framePr w:wrap="around" w:vAnchor="text" w:hAnchor="margin" w:xAlign="center" w:y="1"/>
      <w:autoSpaceDE w:val="0"/>
      <w:autoSpaceDN w:val="0"/>
      <w:rPr>
        <w:rStyle w:val="af3"/>
        <w:rFonts w:ascii="ＭＳ 明朝" w:hAnsi="ＭＳ 明朝"/>
        <w:sz w:val="21"/>
        <w:szCs w:val="21"/>
      </w:rPr>
    </w:pPr>
    <w:r>
      <w:rPr>
        <w:rStyle w:val="af3"/>
        <w:rFonts w:ascii="ＭＳ 明朝" w:hAnsi="ＭＳ 明朝" w:hint="eastAsia"/>
        <w:sz w:val="21"/>
        <w:szCs w:val="21"/>
      </w:rPr>
      <w:fldChar w:fldCharType="begin"/>
    </w:r>
    <w:r>
      <w:rPr>
        <w:rStyle w:val="af3"/>
        <w:rFonts w:ascii="ＭＳ 明朝" w:hAnsi="ＭＳ 明朝" w:hint="eastAsia"/>
        <w:sz w:val="21"/>
        <w:szCs w:val="21"/>
      </w:rPr>
      <w:instrText xml:space="preserve">PAGE  </w:instrText>
    </w:r>
    <w:r>
      <w:rPr>
        <w:rStyle w:val="af3"/>
        <w:rFonts w:ascii="ＭＳ 明朝" w:hAnsi="ＭＳ 明朝" w:hint="eastAsia"/>
        <w:sz w:val="21"/>
        <w:szCs w:val="21"/>
      </w:rPr>
      <w:fldChar w:fldCharType="separate"/>
    </w:r>
    <w:r w:rsidR="00532DCC">
      <w:rPr>
        <w:rStyle w:val="af3"/>
        <w:rFonts w:ascii="ＭＳ 明朝" w:hAnsi="ＭＳ 明朝"/>
        <w:noProof/>
        <w:sz w:val="21"/>
        <w:szCs w:val="21"/>
      </w:rPr>
      <w:t>1</w:t>
    </w:r>
    <w:r>
      <w:rPr>
        <w:rStyle w:val="af3"/>
        <w:rFonts w:ascii="ＭＳ 明朝" w:hAnsi="ＭＳ 明朝" w:hint="eastAsia"/>
        <w:sz w:val="21"/>
        <w:szCs w:val="21"/>
      </w:rPr>
      <w:fldChar w:fldCharType="end"/>
    </w:r>
  </w:p>
  <w:p w:rsidR="00535890" w:rsidRDefault="005358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DB" w:rsidRDefault="003273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42" w:rsidRDefault="00343042">
      <w:pPr>
        <w:spacing w:line="240" w:lineRule="auto"/>
      </w:pPr>
      <w:r>
        <w:separator/>
      </w:r>
    </w:p>
  </w:footnote>
  <w:footnote w:type="continuationSeparator" w:id="0">
    <w:p w:rsidR="00343042" w:rsidRDefault="00343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DB" w:rsidRDefault="003273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DB" w:rsidRDefault="003273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DB" w:rsidRDefault="003273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962"/>
    <w:multiLevelType w:val="singleLevel"/>
    <w:tmpl w:val="2FA67546"/>
    <w:lvl w:ilvl="0">
      <w:start w:val="3"/>
      <w:numFmt w:val="decimalFullWidth"/>
      <w:lvlText w:val="（%1）"/>
      <w:lvlJc w:val="left"/>
      <w:pPr>
        <w:tabs>
          <w:tab w:val="num" w:pos="765"/>
        </w:tabs>
        <w:ind w:left="765" w:hanging="765"/>
      </w:pPr>
      <w:rPr>
        <w:rFonts w:hint="eastAsia"/>
      </w:rPr>
    </w:lvl>
  </w:abstractNum>
  <w:abstractNum w:abstractNumId="1" w15:restartNumberingAfterBreak="0">
    <w:nsid w:val="0BEA30BA"/>
    <w:multiLevelType w:val="multilevel"/>
    <w:tmpl w:val="D5CA5F30"/>
    <w:lvl w:ilvl="0">
      <w:start w:val="1"/>
      <w:numFmt w:val="bullet"/>
      <w:lvlText w:val=""/>
      <w:lvlJc w:val="left"/>
      <w:pPr>
        <w:tabs>
          <w:tab w:val="num" w:pos="360"/>
        </w:tabs>
        <w:ind w:left="360" w:hanging="360"/>
      </w:pPr>
      <w:rPr>
        <w:rFonts w:ascii="Wingdings" w:eastAsia="ＭＳ 明朝" w:hAnsi="Wingdings"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E6F10"/>
    <w:multiLevelType w:val="multilevel"/>
    <w:tmpl w:val="B4A836BC"/>
    <w:lvl w:ilvl="0">
      <w:start w:val="1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Century" w:hint="default"/>
      </w:rPr>
    </w:lvl>
    <w:lvl w:ilvl="2">
      <w:start w:val="1"/>
      <w:numFmt w:val="bullet"/>
      <w:lvlText w:val=""/>
      <w:lvlJc w:val="left"/>
      <w:pPr>
        <w:tabs>
          <w:tab w:val="num" w:pos="1260"/>
        </w:tabs>
        <w:ind w:left="1260" w:hanging="420"/>
      </w:pPr>
      <w:rPr>
        <w:rFonts w:ascii="Wingdings" w:hAnsi="Wingdings" w:cs="Century" w:hint="default"/>
      </w:rPr>
    </w:lvl>
    <w:lvl w:ilvl="3">
      <w:start w:val="1"/>
      <w:numFmt w:val="bullet"/>
      <w:lvlText w:val=""/>
      <w:lvlJc w:val="left"/>
      <w:pPr>
        <w:tabs>
          <w:tab w:val="num" w:pos="1680"/>
        </w:tabs>
        <w:ind w:left="1680" w:hanging="420"/>
      </w:pPr>
      <w:rPr>
        <w:rFonts w:ascii="Wingdings" w:hAnsi="Wingdings" w:cs="Century" w:hint="default"/>
      </w:rPr>
    </w:lvl>
    <w:lvl w:ilvl="4">
      <w:start w:val="1"/>
      <w:numFmt w:val="bullet"/>
      <w:lvlText w:val=""/>
      <w:lvlJc w:val="left"/>
      <w:pPr>
        <w:tabs>
          <w:tab w:val="num" w:pos="2100"/>
        </w:tabs>
        <w:ind w:left="2100" w:hanging="420"/>
      </w:pPr>
      <w:rPr>
        <w:rFonts w:ascii="Wingdings" w:hAnsi="Wingdings" w:cs="Century" w:hint="default"/>
      </w:rPr>
    </w:lvl>
    <w:lvl w:ilvl="5">
      <w:start w:val="1"/>
      <w:numFmt w:val="bullet"/>
      <w:lvlText w:val=""/>
      <w:lvlJc w:val="left"/>
      <w:pPr>
        <w:tabs>
          <w:tab w:val="num" w:pos="2520"/>
        </w:tabs>
        <w:ind w:left="2520" w:hanging="420"/>
      </w:pPr>
      <w:rPr>
        <w:rFonts w:ascii="Wingdings" w:hAnsi="Wingdings" w:cs="Century" w:hint="default"/>
      </w:rPr>
    </w:lvl>
    <w:lvl w:ilvl="6">
      <w:start w:val="1"/>
      <w:numFmt w:val="bullet"/>
      <w:lvlText w:val=""/>
      <w:lvlJc w:val="left"/>
      <w:pPr>
        <w:tabs>
          <w:tab w:val="num" w:pos="2940"/>
        </w:tabs>
        <w:ind w:left="2940" w:hanging="420"/>
      </w:pPr>
      <w:rPr>
        <w:rFonts w:ascii="Wingdings" w:hAnsi="Wingdings" w:cs="Century" w:hint="default"/>
      </w:rPr>
    </w:lvl>
    <w:lvl w:ilvl="7">
      <w:start w:val="1"/>
      <w:numFmt w:val="bullet"/>
      <w:lvlText w:val=""/>
      <w:lvlJc w:val="left"/>
      <w:pPr>
        <w:tabs>
          <w:tab w:val="num" w:pos="3360"/>
        </w:tabs>
        <w:ind w:left="3360" w:hanging="420"/>
      </w:pPr>
      <w:rPr>
        <w:rFonts w:ascii="Wingdings" w:hAnsi="Wingdings" w:cs="Century" w:hint="default"/>
      </w:rPr>
    </w:lvl>
    <w:lvl w:ilvl="8">
      <w:start w:val="1"/>
      <w:numFmt w:val="bullet"/>
      <w:lvlText w:val=""/>
      <w:lvlJc w:val="left"/>
      <w:pPr>
        <w:tabs>
          <w:tab w:val="num" w:pos="3780"/>
        </w:tabs>
        <w:ind w:left="3780" w:hanging="420"/>
      </w:pPr>
      <w:rPr>
        <w:rFonts w:ascii="Wingdings" w:hAnsi="Wingdings" w:cs="Century" w:hint="default"/>
      </w:rPr>
    </w:lvl>
  </w:abstractNum>
  <w:abstractNum w:abstractNumId="3" w15:restartNumberingAfterBreak="0">
    <w:nsid w:val="0F167C34"/>
    <w:multiLevelType w:val="multilevel"/>
    <w:tmpl w:val="3B56DA28"/>
    <w:lvl w:ilvl="0">
      <w:start w:val="1"/>
      <w:numFmt w:val="bullet"/>
      <w:lvlText w:val=""/>
      <w:lvlJc w:val="left"/>
      <w:pPr>
        <w:tabs>
          <w:tab w:val="num" w:pos="360"/>
        </w:tabs>
        <w:ind w:left="360" w:hanging="360"/>
      </w:pPr>
      <w:rPr>
        <w:rFonts w:ascii="Wingdings" w:eastAsia="ＭＳ 明朝" w:hAnsi="Wingdings" w:cs="Times New Roman"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D1D65"/>
    <w:multiLevelType w:val="singleLevel"/>
    <w:tmpl w:val="A1B879FC"/>
    <w:lvl w:ilvl="0">
      <w:start w:val="1"/>
      <w:numFmt w:val="decimalFullWidth"/>
      <w:lvlText w:val="%1．"/>
      <w:lvlJc w:val="left"/>
      <w:pPr>
        <w:tabs>
          <w:tab w:val="num" w:pos="510"/>
        </w:tabs>
        <w:ind w:left="510" w:hanging="510"/>
      </w:pPr>
      <w:rPr>
        <w:rFonts w:hint="eastAsia"/>
      </w:rPr>
    </w:lvl>
  </w:abstractNum>
  <w:abstractNum w:abstractNumId="5" w15:restartNumberingAfterBreak="0">
    <w:nsid w:val="2A165047"/>
    <w:multiLevelType w:val="multilevel"/>
    <w:tmpl w:val="D5CA5F30"/>
    <w:lvl w:ilvl="0">
      <w:start w:val="1"/>
      <w:numFmt w:val="bullet"/>
      <w:lvlText w:val=""/>
      <w:lvlJc w:val="left"/>
      <w:pPr>
        <w:tabs>
          <w:tab w:val="num" w:pos="360"/>
        </w:tabs>
        <w:ind w:left="360" w:hanging="360"/>
      </w:pPr>
      <w:rPr>
        <w:rFonts w:ascii="Wingdings" w:eastAsia="ＭＳ 明朝" w:hAnsi="Wingdings" w:cs="Times New Roman"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3004BE"/>
    <w:multiLevelType w:val="multilevel"/>
    <w:tmpl w:val="5B1E126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781D09"/>
    <w:multiLevelType w:val="hybridMultilevel"/>
    <w:tmpl w:val="962CB3B6"/>
    <w:lvl w:ilvl="0" w:tplc="058C2A0C">
      <w:start w:val="1"/>
      <w:numFmt w:val="decimalFullWidth"/>
      <w:lvlText w:val="%1．"/>
      <w:lvlJc w:val="left"/>
      <w:pPr>
        <w:tabs>
          <w:tab w:val="num" w:pos="720"/>
        </w:tabs>
        <w:ind w:left="720" w:hanging="720"/>
      </w:pPr>
      <w:rPr>
        <w:rFonts w:hint="default"/>
      </w:rPr>
    </w:lvl>
    <w:lvl w:ilvl="1" w:tplc="6BD41536" w:tentative="1">
      <w:start w:val="1"/>
      <w:numFmt w:val="aiueoFullWidth"/>
      <w:lvlText w:val="(%2)"/>
      <w:lvlJc w:val="left"/>
      <w:pPr>
        <w:tabs>
          <w:tab w:val="num" w:pos="840"/>
        </w:tabs>
        <w:ind w:left="840" w:hanging="420"/>
      </w:pPr>
    </w:lvl>
    <w:lvl w:ilvl="2" w:tplc="08445736" w:tentative="1">
      <w:start w:val="1"/>
      <w:numFmt w:val="decimalEnclosedCircle"/>
      <w:lvlText w:val="%3"/>
      <w:lvlJc w:val="left"/>
      <w:pPr>
        <w:tabs>
          <w:tab w:val="num" w:pos="1260"/>
        </w:tabs>
        <w:ind w:left="1260" w:hanging="420"/>
      </w:pPr>
    </w:lvl>
    <w:lvl w:ilvl="3" w:tplc="12745C02" w:tentative="1">
      <w:start w:val="1"/>
      <w:numFmt w:val="decimal"/>
      <w:lvlText w:val="%4."/>
      <w:lvlJc w:val="left"/>
      <w:pPr>
        <w:tabs>
          <w:tab w:val="num" w:pos="1680"/>
        </w:tabs>
        <w:ind w:left="1680" w:hanging="420"/>
      </w:pPr>
    </w:lvl>
    <w:lvl w:ilvl="4" w:tplc="35824014" w:tentative="1">
      <w:start w:val="1"/>
      <w:numFmt w:val="aiueoFullWidth"/>
      <w:lvlText w:val="(%5)"/>
      <w:lvlJc w:val="left"/>
      <w:pPr>
        <w:tabs>
          <w:tab w:val="num" w:pos="2100"/>
        </w:tabs>
        <w:ind w:left="2100" w:hanging="420"/>
      </w:pPr>
    </w:lvl>
    <w:lvl w:ilvl="5" w:tplc="94C036DE" w:tentative="1">
      <w:start w:val="1"/>
      <w:numFmt w:val="decimalEnclosedCircle"/>
      <w:lvlText w:val="%6"/>
      <w:lvlJc w:val="left"/>
      <w:pPr>
        <w:tabs>
          <w:tab w:val="num" w:pos="2520"/>
        </w:tabs>
        <w:ind w:left="2520" w:hanging="420"/>
      </w:pPr>
    </w:lvl>
    <w:lvl w:ilvl="6" w:tplc="647E999E" w:tentative="1">
      <w:start w:val="1"/>
      <w:numFmt w:val="decimal"/>
      <w:lvlText w:val="%7."/>
      <w:lvlJc w:val="left"/>
      <w:pPr>
        <w:tabs>
          <w:tab w:val="num" w:pos="2940"/>
        </w:tabs>
        <w:ind w:left="2940" w:hanging="420"/>
      </w:pPr>
    </w:lvl>
    <w:lvl w:ilvl="7" w:tplc="D35862BC" w:tentative="1">
      <w:start w:val="1"/>
      <w:numFmt w:val="aiueoFullWidth"/>
      <w:lvlText w:val="(%8)"/>
      <w:lvlJc w:val="left"/>
      <w:pPr>
        <w:tabs>
          <w:tab w:val="num" w:pos="3360"/>
        </w:tabs>
        <w:ind w:left="3360" w:hanging="420"/>
      </w:pPr>
    </w:lvl>
    <w:lvl w:ilvl="8" w:tplc="311EC622" w:tentative="1">
      <w:start w:val="1"/>
      <w:numFmt w:val="decimalEnclosedCircle"/>
      <w:lvlText w:val="%9"/>
      <w:lvlJc w:val="left"/>
      <w:pPr>
        <w:tabs>
          <w:tab w:val="num" w:pos="3780"/>
        </w:tabs>
        <w:ind w:left="3780" w:hanging="420"/>
      </w:pPr>
    </w:lvl>
  </w:abstractNum>
  <w:abstractNum w:abstractNumId="8" w15:restartNumberingAfterBreak="0">
    <w:nsid w:val="324364E5"/>
    <w:multiLevelType w:val="multilevel"/>
    <w:tmpl w:val="3B56DA28"/>
    <w:lvl w:ilvl="0">
      <w:start w:val="1"/>
      <w:numFmt w:val="bullet"/>
      <w:lvlText w:val=""/>
      <w:lvlJc w:val="left"/>
      <w:pPr>
        <w:tabs>
          <w:tab w:val="num" w:pos="360"/>
        </w:tabs>
        <w:ind w:left="360" w:hanging="360"/>
      </w:pPr>
      <w:rPr>
        <w:rFonts w:ascii="Wingdings" w:eastAsia="ＭＳ 明朝" w:hAnsi="Wingdings"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E3667D"/>
    <w:multiLevelType w:val="multilevel"/>
    <w:tmpl w:val="5B1E126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673DF7"/>
    <w:multiLevelType w:val="singleLevel"/>
    <w:tmpl w:val="D10A2996"/>
    <w:lvl w:ilvl="0">
      <w:start w:val="5"/>
      <w:numFmt w:val="decimalFullWidth"/>
      <w:lvlText w:val="（%1）"/>
      <w:lvlJc w:val="left"/>
      <w:pPr>
        <w:tabs>
          <w:tab w:val="num" w:pos="765"/>
        </w:tabs>
        <w:ind w:left="765" w:hanging="765"/>
      </w:pPr>
      <w:rPr>
        <w:rFonts w:hint="eastAsia"/>
      </w:rPr>
    </w:lvl>
  </w:abstractNum>
  <w:abstractNum w:abstractNumId="11" w15:restartNumberingAfterBreak="0">
    <w:nsid w:val="4C923571"/>
    <w:multiLevelType w:val="multilevel"/>
    <w:tmpl w:val="F7A63484"/>
    <w:lvl w:ilvl="0">
      <w:start w:val="1"/>
      <w:numFmt w:val="bullet"/>
      <w:lvlText w:val="○"/>
      <w:lvlJc w:val="left"/>
      <w:pPr>
        <w:tabs>
          <w:tab w:val="num" w:pos="420"/>
        </w:tabs>
        <w:ind w:left="420" w:hanging="42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552BD6"/>
    <w:multiLevelType w:val="multilevel"/>
    <w:tmpl w:val="D5CA5F30"/>
    <w:lvl w:ilvl="0">
      <w:start w:val="1"/>
      <w:numFmt w:val="bullet"/>
      <w:lvlText w:val=""/>
      <w:lvlJc w:val="left"/>
      <w:pPr>
        <w:tabs>
          <w:tab w:val="num" w:pos="360"/>
        </w:tabs>
        <w:ind w:left="360" w:hanging="360"/>
      </w:pPr>
      <w:rPr>
        <w:rFonts w:ascii="Wingdings" w:eastAsia="ＭＳ 明朝" w:hAnsi="Wingdings"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004244"/>
    <w:multiLevelType w:val="multilevel"/>
    <w:tmpl w:val="335486F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9077E67"/>
    <w:multiLevelType w:val="multilevel"/>
    <w:tmpl w:val="14601492"/>
    <w:lvl w:ilvl="0">
      <w:start w:val="1"/>
      <w:numFmt w:val="bullet"/>
      <w:lvlText w:val=""/>
      <w:lvlJc w:val="left"/>
      <w:pPr>
        <w:tabs>
          <w:tab w:val="num" w:pos="360"/>
        </w:tabs>
        <w:ind w:left="360" w:hanging="360"/>
      </w:pPr>
      <w:rPr>
        <w:rFonts w:ascii="Symbol" w:eastAsia="ＭＳ 明朝" w:hAnsi="Symbol" w:cs="Times New Roman" w:hint="default"/>
        <w:color w:val="auto"/>
        <w:sz w:val="24"/>
        <w:szCs w:val="24"/>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98967D2"/>
    <w:multiLevelType w:val="multilevel"/>
    <w:tmpl w:val="5B1E1264"/>
    <w:lvl w:ilvl="0">
      <w:start w:val="1"/>
      <w:numFmt w:val="bullet"/>
      <w:lvlText w:val=""/>
      <w:lvlJc w:val="left"/>
      <w:pPr>
        <w:tabs>
          <w:tab w:val="num" w:pos="420"/>
        </w:tabs>
        <w:ind w:left="420" w:hanging="420"/>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074EFF"/>
    <w:multiLevelType w:val="multilevel"/>
    <w:tmpl w:val="BA2CC3A6"/>
    <w:lvl w:ilvl="0">
      <w:start w:val="1"/>
      <w:numFmt w:val="bullet"/>
      <w:lvlText w:val=""/>
      <w:lvlJc w:val="left"/>
      <w:pPr>
        <w:tabs>
          <w:tab w:val="num" w:pos="360"/>
        </w:tabs>
        <w:ind w:left="360" w:hanging="360"/>
      </w:pPr>
      <w:rPr>
        <w:rFonts w:ascii="Symbol" w:eastAsia="ＭＳ 明朝" w:hAnsi="Symbol" w:cs="Times New Roman" w:hint="default"/>
        <w:color w:val="auto"/>
        <w:sz w:val="24"/>
        <w:szCs w:val="24"/>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C569F7"/>
    <w:multiLevelType w:val="singleLevel"/>
    <w:tmpl w:val="CA28E346"/>
    <w:lvl w:ilvl="0">
      <w:start w:val="1"/>
      <w:numFmt w:val="decimalFullWidth"/>
      <w:lvlText w:val="（%1）"/>
      <w:lvlJc w:val="left"/>
      <w:pPr>
        <w:tabs>
          <w:tab w:val="num" w:pos="765"/>
        </w:tabs>
        <w:ind w:left="765" w:hanging="765"/>
      </w:pPr>
      <w:rPr>
        <w:rFonts w:hint="eastAsia"/>
      </w:rPr>
    </w:lvl>
  </w:abstractNum>
  <w:abstractNum w:abstractNumId="18" w15:restartNumberingAfterBreak="0">
    <w:nsid w:val="7BB06F0F"/>
    <w:multiLevelType w:val="multilevel"/>
    <w:tmpl w:val="B1D233DE"/>
    <w:lvl w:ilvl="0">
      <w:start w:val="1"/>
      <w:numFmt w:val="bullet"/>
      <w:lvlText w:val=""/>
      <w:lvlJc w:val="left"/>
      <w:pPr>
        <w:tabs>
          <w:tab w:val="num" w:pos="360"/>
        </w:tabs>
        <w:ind w:left="360" w:hanging="360"/>
      </w:pPr>
      <w:rPr>
        <w:rFonts w:ascii="Symbol" w:eastAsia="ＭＳ 明朝" w:hAnsi="Symbol" w:cs="Times New Roman" w:hint="default"/>
        <w:color w:val="auto"/>
        <w:sz w:val="24"/>
        <w:szCs w:val="24"/>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5"/>
  </w:num>
  <w:num w:numId="3">
    <w:abstractNumId w:val="9"/>
  </w:num>
  <w:num w:numId="4">
    <w:abstractNumId w:val="3"/>
  </w:num>
  <w:num w:numId="5">
    <w:abstractNumId w:val="6"/>
  </w:num>
  <w:num w:numId="6">
    <w:abstractNumId w:val="5"/>
  </w:num>
  <w:num w:numId="7">
    <w:abstractNumId w:val="8"/>
  </w:num>
  <w:num w:numId="8">
    <w:abstractNumId w:val="14"/>
  </w:num>
  <w:num w:numId="9">
    <w:abstractNumId w:val="12"/>
  </w:num>
  <w:num w:numId="10">
    <w:abstractNumId w:val="16"/>
  </w:num>
  <w:num w:numId="11">
    <w:abstractNumId w:val="1"/>
  </w:num>
  <w:num w:numId="12">
    <w:abstractNumId w:val="18"/>
  </w:num>
  <w:num w:numId="13">
    <w:abstractNumId w:val="11"/>
  </w:num>
  <w:num w:numId="14">
    <w:abstractNumId w:val="4"/>
  </w:num>
  <w:num w:numId="15">
    <w:abstractNumId w:val="2"/>
  </w:num>
  <w:num w:numId="16">
    <w:abstractNumId w:val="13"/>
  </w:num>
  <w:num w:numId="17">
    <w:abstractNumId w:val="1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353"/>
  <w:displayHorizontalDrawingGridEvery w:val="2"/>
  <w:characterSpacingControl w:val="compressPunctuation"/>
  <w:noLineBreaksAfter w:lang="ja-JP" w:val="$([\{£¥‘“〈《「『【〔＄（０［｛｢￡￥"/>
  <w:noLineBreaksBefore w:lang="ja-JP" w:val="!%),.:;?]}¢°’”‰′″℃、。々〉》」』】〕ぁぃぅぇぉっゃゅょゎ゛゜ゝゞァィゥェォッャュョヮヵヶ・ーヽヾ！％），．０：；？］｝｡｣､･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45A"/>
    <w:rsid w:val="000004A6"/>
    <w:rsid w:val="00012C9D"/>
    <w:rsid w:val="000171AA"/>
    <w:rsid w:val="0002146C"/>
    <w:rsid w:val="00062310"/>
    <w:rsid w:val="0009527B"/>
    <w:rsid w:val="000C7F05"/>
    <w:rsid w:val="00120E6C"/>
    <w:rsid w:val="00191E05"/>
    <w:rsid w:val="00194E11"/>
    <w:rsid w:val="001B4D87"/>
    <w:rsid w:val="001E6D4C"/>
    <w:rsid w:val="001F37CD"/>
    <w:rsid w:val="0022390C"/>
    <w:rsid w:val="00226B16"/>
    <w:rsid w:val="00251DB5"/>
    <w:rsid w:val="00263325"/>
    <w:rsid w:val="00270BF3"/>
    <w:rsid w:val="00272615"/>
    <w:rsid w:val="00294AF7"/>
    <w:rsid w:val="002A682D"/>
    <w:rsid w:val="002E10A8"/>
    <w:rsid w:val="002E4775"/>
    <w:rsid w:val="002F6DE8"/>
    <w:rsid w:val="00311394"/>
    <w:rsid w:val="003273DB"/>
    <w:rsid w:val="00333598"/>
    <w:rsid w:val="00343042"/>
    <w:rsid w:val="003954D8"/>
    <w:rsid w:val="00395744"/>
    <w:rsid w:val="003C4F65"/>
    <w:rsid w:val="003D3CFC"/>
    <w:rsid w:val="003F536D"/>
    <w:rsid w:val="00410ED6"/>
    <w:rsid w:val="00470B39"/>
    <w:rsid w:val="0047286B"/>
    <w:rsid w:val="00474A85"/>
    <w:rsid w:val="00493263"/>
    <w:rsid w:val="004B21E0"/>
    <w:rsid w:val="004B7EDC"/>
    <w:rsid w:val="004C1D96"/>
    <w:rsid w:val="00512BBA"/>
    <w:rsid w:val="00526010"/>
    <w:rsid w:val="00532DCC"/>
    <w:rsid w:val="00535890"/>
    <w:rsid w:val="00565EEF"/>
    <w:rsid w:val="00571E4F"/>
    <w:rsid w:val="0058260A"/>
    <w:rsid w:val="005B2429"/>
    <w:rsid w:val="005F1868"/>
    <w:rsid w:val="00637776"/>
    <w:rsid w:val="00650FCF"/>
    <w:rsid w:val="006512A1"/>
    <w:rsid w:val="00663C55"/>
    <w:rsid w:val="00663D6E"/>
    <w:rsid w:val="00666E48"/>
    <w:rsid w:val="0068449D"/>
    <w:rsid w:val="006A4AA0"/>
    <w:rsid w:val="006B6AA3"/>
    <w:rsid w:val="006D4179"/>
    <w:rsid w:val="006E26CE"/>
    <w:rsid w:val="006E566F"/>
    <w:rsid w:val="00704FB6"/>
    <w:rsid w:val="00712F01"/>
    <w:rsid w:val="0071346D"/>
    <w:rsid w:val="007909BE"/>
    <w:rsid w:val="007B2D15"/>
    <w:rsid w:val="007C3D01"/>
    <w:rsid w:val="007D2244"/>
    <w:rsid w:val="007D5217"/>
    <w:rsid w:val="008111F2"/>
    <w:rsid w:val="0082162B"/>
    <w:rsid w:val="00832F82"/>
    <w:rsid w:val="00846E21"/>
    <w:rsid w:val="0085545B"/>
    <w:rsid w:val="0085757E"/>
    <w:rsid w:val="008642EE"/>
    <w:rsid w:val="008A1F4A"/>
    <w:rsid w:val="008C0691"/>
    <w:rsid w:val="008C4123"/>
    <w:rsid w:val="008D0685"/>
    <w:rsid w:val="008D32D5"/>
    <w:rsid w:val="00903DEC"/>
    <w:rsid w:val="009702EE"/>
    <w:rsid w:val="00A55124"/>
    <w:rsid w:val="00A94753"/>
    <w:rsid w:val="00AE5686"/>
    <w:rsid w:val="00B21B14"/>
    <w:rsid w:val="00B3438D"/>
    <w:rsid w:val="00B62A9F"/>
    <w:rsid w:val="00B76956"/>
    <w:rsid w:val="00B96D21"/>
    <w:rsid w:val="00BC203A"/>
    <w:rsid w:val="00BD1E0B"/>
    <w:rsid w:val="00BE0989"/>
    <w:rsid w:val="00C00E83"/>
    <w:rsid w:val="00C45CD0"/>
    <w:rsid w:val="00C61B01"/>
    <w:rsid w:val="00C702FD"/>
    <w:rsid w:val="00C81C17"/>
    <w:rsid w:val="00C90A25"/>
    <w:rsid w:val="00D00F6D"/>
    <w:rsid w:val="00D32F56"/>
    <w:rsid w:val="00D855E9"/>
    <w:rsid w:val="00D9513C"/>
    <w:rsid w:val="00DA3F7D"/>
    <w:rsid w:val="00DA67DE"/>
    <w:rsid w:val="00E20E00"/>
    <w:rsid w:val="00E92AE1"/>
    <w:rsid w:val="00EB7FF2"/>
    <w:rsid w:val="00EC4068"/>
    <w:rsid w:val="00EE4CC7"/>
    <w:rsid w:val="00F011D0"/>
    <w:rsid w:val="00F3245A"/>
    <w:rsid w:val="00F41A5C"/>
    <w:rsid w:val="00F57E6B"/>
    <w:rsid w:val="00F657F3"/>
    <w:rsid w:val="00F7344A"/>
    <w:rsid w:val="00F73957"/>
    <w:rsid w:val="00F947FE"/>
    <w:rsid w:val="00FA3F5C"/>
    <w:rsid w:val="00FE1416"/>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60" w:lineRule="atLeast"/>
      <w:jc w:val="both"/>
      <w:textAlignment w:val="baseline"/>
    </w:pPr>
    <w:rPr>
      <w:rFonts w:ascii="Mincho" w:eastAsia="Mincho"/>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spacing w:line="292" w:lineRule="exact"/>
    </w:pPr>
    <w:rPr>
      <w:rFonts w:ascii="Century" w:eastAsia="ＭＳ 明朝"/>
      <w:kern w:val="2"/>
      <w:sz w:val="24"/>
    </w:rPr>
  </w:style>
  <w:style w:type="paragraph" w:styleId="a4">
    <w:name w:val="Body Text Indent"/>
    <w:basedOn w:val="a"/>
    <w:pPr>
      <w:spacing w:line="360" w:lineRule="auto"/>
      <w:ind w:left="240" w:hanging="240"/>
    </w:pPr>
  </w:style>
  <w:style w:type="paragraph" w:styleId="2">
    <w:name w:val="Body Text Indent 2"/>
    <w:basedOn w:val="a"/>
    <w:pPr>
      <w:spacing w:line="360" w:lineRule="auto"/>
      <w:ind w:left="720" w:hanging="220"/>
    </w:pPr>
    <w:rPr>
      <w:b/>
    </w:rPr>
  </w:style>
  <w:style w:type="paragraph" w:styleId="3">
    <w:name w:val="Body Text Indent 3"/>
    <w:basedOn w:val="a"/>
    <w:pPr>
      <w:spacing w:line="360" w:lineRule="auto"/>
      <w:ind w:left="840" w:hanging="340"/>
    </w:pPr>
    <w:rPr>
      <w:b/>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a7">
    <w:name w:val="１．"/>
    <w:basedOn w:val="a"/>
    <w:pPr>
      <w:spacing w:line="360" w:lineRule="auto"/>
    </w:pPr>
    <w:rPr>
      <w:rFonts w:ascii="ＭＳ 明朝" w:eastAsia="ＭＳ 明朝"/>
      <w:kern w:val="2"/>
    </w:rPr>
  </w:style>
  <w:style w:type="paragraph" w:customStyle="1" w:styleId="a8">
    <w:name w:val="１．文"/>
    <w:basedOn w:val="a"/>
    <w:pPr>
      <w:spacing w:line="360" w:lineRule="auto"/>
      <w:ind w:left="180" w:firstLine="274"/>
    </w:pPr>
    <w:rPr>
      <w:rFonts w:ascii="ＭＳ 明朝" w:eastAsia="ＭＳ 明朝"/>
      <w:kern w:val="2"/>
    </w:rPr>
  </w:style>
  <w:style w:type="paragraph" w:customStyle="1" w:styleId="1">
    <w:name w:val="(1)"/>
    <w:basedOn w:val="a"/>
    <w:pPr>
      <w:spacing w:line="360" w:lineRule="auto"/>
      <w:ind w:left="360" w:hanging="360"/>
    </w:pPr>
    <w:rPr>
      <w:rFonts w:ascii="ＭＳ 明朝" w:eastAsia="ＭＳ 明朝"/>
      <w:kern w:val="2"/>
    </w:rPr>
  </w:style>
  <w:style w:type="paragraph" w:customStyle="1" w:styleId="C">
    <w:name w:val="C、"/>
    <w:basedOn w:val="a"/>
    <w:pPr>
      <w:spacing w:line="360" w:lineRule="auto"/>
      <w:ind w:left="720" w:hanging="540"/>
    </w:pPr>
    <w:rPr>
      <w:rFonts w:ascii="ＭＳ 明朝" w:eastAsia="ＭＳ 明朝"/>
      <w:kern w:val="2"/>
    </w:rPr>
  </w:style>
  <w:style w:type="paragraph" w:customStyle="1" w:styleId="a9">
    <w:name w:val="イ、"/>
    <w:basedOn w:val="a"/>
    <w:pPr>
      <w:spacing w:line="360" w:lineRule="auto"/>
      <w:ind w:left="766" w:hanging="227"/>
    </w:pPr>
    <w:rPr>
      <w:rFonts w:ascii="ＭＳ 明朝" w:eastAsia="ＭＳ 明朝"/>
      <w:kern w:val="2"/>
    </w:rPr>
  </w:style>
  <w:style w:type="paragraph" w:customStyle="1" w:styleId="aa">
    <w:name w:val="イ、文"/>
    <w:basedOn w:val="1"/>
    <w:pPr>
      <w:ind w:left="540" w:firstLine="540"/>
    </w:pPr>
  </w:style>
  <w:style w:type="paragraph" w:styleId="ab">
    <w:name w:val="Document Map"/>
    <w:basedOn w:val="a"/>
    <w:semiHidden/>
    <w:pPr>
      <w:shd w:val="clear" w:color="auto" w:fill="000080"/>
    </w:pPr>
    <w:rPr>
      <w:rFonts w:ascii="Arial" w:eastAsia="ＭＳ ゴシック" w:hAnsi="Arial"/>
    </w:rPr>
  </w:style>
  <w:style w:type="paragraph" w:styleId="ac">
    <w:name w:val="Closing"/>
    <w:basedOn w:val="a"/>
    <w:next w:val="a"/>
    <w:pPr>
      <w:jc w:val="right"/>
    </w:pPr>
  </w:style>
  <w:style w:type="paragraph" w:styleId="ad">
    <w:name w:val="Balloon Text"/>
    <w:basedOn w:val="a"/>
    <w:semiHidden/>
    <w:rPr>
      <w:rFonts w:ascii="Arial" w:eastAsia="ＭＳ ゴシック" w:hAnsi="Arial"/>
      <w:sz w:val="18"/>
      <w:szCs w:val="18"/>
    </w:rPr>
  </w:style>
  <w:style w:type="character" w:styleId="ae">
    <w:name w:val="Hyperlink"/>
    <w:rPr>
      <w:color w:val="0000FF"/>
      <w:u w:val="single"/>
    </w:rPr>
  </w:style>
  <w:style w:type="paragraph" w:styleId="af">
    <w:name w:val="Note Heading"/>
    <w:basedOn w:val="a"/>
    <w:next w:val="a"/>
    <w:pPr>
      <w:adjustRightInd/>
      <w:spacing w:line="240" w:lineRule="auto"/>
      <w:jc w:val="center"/>
      <w:textAlignment w:val="auto"/>
    </w:pPr>
    <w:rPr>
      <w:rFonts w:ascii="Century" w:eastAsia="ＭＳ 明朝"/>
      <w:kern w:val="2"/>
      <w:sz w:val="21"/>
    </w:rPr>
  </w:style>
  <w:style w:type="paragraph" w:styleId="af0">
    <w:name w:val="Body Text"/>
    <w:basedOn w:val="a"/>
    <w:pPr>
      <w:ind w:right="-261"/>
    </w:pPr>
  </w:style>
  <w:style w:type="paragraph" w:styleId="af1">
    <w:name w:val="Block Text"/>
    <w:basedOn w:val="a"/>
    <w:pPr>
      <w:widowControl/>
      <w:spacing w:line="480" w:lineRule="exact"/>
      <w:ind w:left="432" w:right="384" w:hanging="26"/>
    </w:pPr>
    <w:rPr>
      <w:rFonts w:ascii="ＭＳ 明朝" w:eastAsia="ＭＳ 明朝" w:hAnsi="ＭＳ 明朝"/>
    </w:rPr>
  </w:style>
  <w:style w:type="paragraph" w:styleId="af2">
    <w:name w:val="Plain Text"/>
    <w:basedOn w:val="a"/>
    <w:rsid w:val="002E10A8"/>
    <w:pPr>
      <w:adjustRightInd/>
      <w:spacing w:line="240" w:lineRule="auto"/>
      <w:textAlignment w:val="auto"/>
    </w:pPr>
    <w:rPr>
      <w:rFonts w:ascii="ＭＳ 明朝" w:eastAsia="ＭＳ 明朝" w:hAnsi="Courier New"/>
      <w:kern w:val="2"/>
      <w:sz w:val="21"/>
    </w:rPr>
  </w:style>
  <w:style w:type="character" w:styleId="af3">
    <w:name w:val="page number"/>
    <w:basedOn w:val="a0"/>
    <w:rsid w:val="0053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937">
      <w:bodyDiv w:val="1"/>
      <w:marLeft w:val="0"/>
      <w:marRight w:val="0"/>
      <w:marTop w:val="0"/>
      <w:marBottom w:val="0"/>
      <w:divBdr>
        <w:top w:val="none" w:sz="0" w:space="0" w:color="auto"/>
        <w:left w:val="none" w:sz="0" w:space="0" w:color="auto"/>
        <w:bottom w:val="none" w:sz="0" w:space="0" w:color="auto"/>
        <w:right w:val="none" w:sz="0" w:space="0" w:color="auto"/>
      </w:divBdr>
      <w:divsChild>
        <w:div w:id="196446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5165-5EE5-4B72-A081-81CD477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2022-08-09T01:52:00Z</dcterms:created>
  <dcterms:modified xsi:type="dcterms:W3CDTF">2022-10-06T07:53:00Z</dcterms:modified>
</cp:coreProperties>
</file>