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45" w:rsidRDefault="00151045" w:rsidP="00151045">
      <w:pPr>
        <w:spacing w:line="320" w:lineRule="exact"/>
        <w:ind w:left="1134"/>
        <w:rPr>
          <w:rFonts w:ascii="ＭＳ ゴシック" w:eastAsia="ＭＳ ゴシック"/>
          <w:sz w:val="28"/>
        </w:rPr>
      </w:pPr>
      <w:r>
        <w:rPr>
          <w:rFonts w:ascii="ＭＳ ゴシック" w:eastAsia="ＭＳ ゴシック" w:hint="eastAsia"/>
          <w:sz w:val="28"/>
        </w:rPr>
        <w:t>外国為替円決済制度関係事務についての日本銀行</w:t>
      </w:r>
    </w:p>
    <w:p w:rsidR="00151045" w:rsidRDefault="00151045" w:rsidP="00151045">
      <w:pPr>
        <w:spacing w:line="320" w:lineRule="exact"/>
        <w:ind w:left="1134"/>
        <w:rPr>
          <w:rFonts w:ascii="ＭＳ ゴシック" w:eastAsia="ＭＳ ゴシック"/>
          <w:sz w:val="28"/>
        </w:rPr>
      </w:pPr>
      <w:r>
        <w:rPr>
          <w:rFonts w:ascii="ＭＳ ゴシック" w:eastAsia="ＭＳ ゴシック" w:hint="eastAsia"/>
          <w:sz w:val="28"/>
        </w:rPr>
        <w:t>金融ネットワークシステムの利用に関する規則</w:t>
      </w:r>
    </w:p>
    <w:p w:rsidR="00E21BC5" w:rsidRDefault="00E21BC5">
      <w:pPr>
        <w:spacing w:line="360" w:lineRule="auto"/>
      </w:pPr>
    </w:p>
    <w:p w:rsidR="00EE026D" w:rsidRDefault="00EE026D" w:rsidP="00EE026D">
      <w:pPr>
        <w:spacing w:line="240" w:lineRule="auto"/>
      </w:pPr>
    </w:p>
    <w:p w:rsidR="00E21BC5" w:rsidRDefault="00E21BC5">
      <w:pPr>
        <w:spacing w:line="360" w:lineRule="auto"/>
      </w:pPr>
      <w:r>
        <w:rPr>
          <w:rFonts w:hint="eastAsia"/>
        </w:rPr>
        <w:t>（趣　旨）</w:t>
      </w:r>
    </w:p>
    <w:p w:rsidR="00E21BC5" w:rsidRDefault="00E21BC5">
      <w:pPr>
        <w:pStyle w:val="2"/>
        <w:spacing w:line="360" w:lineRule="auto"/>
        <w:ind w:left="240" w:hanging="240"/>
      </w:pPr>
      <w:r>
        <w:rPr>
          <w:rFonts w:hint="eastAsia"/>
        </w:rPr>
        <w:t>第１条　この規則は、外国為替円決済制度関係事務についての日本銀行金融ネットワークシステム（以下「日銀ネット」という。）の利用に関する基本的な事項を定める。</w:t>
      </w:r>
    </w:p>
    <w:p w:rsidR="00E21BC5" w:rsidRDefault="00E21BC5">
      <w:pPr>
        <w:spacing w:line="360" w:lineRule="auto"/>
        <w:ind w:left="720" w:hanging="720"/>
      </w:pPr>
    </w:p>
    <w:p w:rsidR="00E21BC5" w:rsidRDefault="00E21BC5">
      <w:pPr>
        <w:spacing w:line="360" w:lineRule="auto"/>
        <w:ind w:left="720" w:hanging="720"/>
      </w:pPr>
      <w:r>
        <w:rPr>
          <w:rFonts w:hint="eastAsia"/>
        </w:rPr>
        <w:t>（承認事項）</w:t>
      </w:r>
    </w:p>
    <w:p w:rsidR="00E21BC5" w:rsidRDefault="00E21BC5">
      <w:pPr>
        <w:pStyle w:val="2"/>
        <w:spacing w:line="360" w:lineRule="auto"/>
        <w:ind w:left="240" w:hanging="240"/>
      </w:pPr>
      <w:r>
        <w:rPr>
          <w:rFonts w:hint="eastAsia"/>
        </w:rPr>
        <w:t>第２条　外国為替円決済制度に参加する者で、日本銀行との間で外国為替円決済制度関係事務についての日銀ネットの利用に関する約定（以下「約定」という。）を結んだもの（以下「利用金融機関」という。）は、</w:t>
      </w:r>
      <w:r w:rsidR="00BE7B21" w:rsidRPr="00BE7B21">
        <w:rPr>
          <w:rFonts w:hint="eastAsia"/>
        </w:rPr>
        <w:t>日銀ネットを利用して日本銀行の本店または支店と当座勘定取引または当座勘定（同時決済口）における取引を行い、それらの勘定において、外国為替円決済制度規則（以下「制度規則」という。）に定める支払指図（以下「支払指図」という。）にかかる債務の決済を行う店舗（以下「外為円決済母店」という。）の名称</w:t>
      </w:r>
      <w:r>
        <w:rPr>
          <w:rFonts w:hint="eastAsia"/>
        </w:rPr>
        <w:t>を予め日本銀行に申出、その承認を得るものとする。これを変更しようとする場合も、同様とする。</w:t>
      </w:r>
    </w:p>
    <w:p w:rsidR="00E21BC5" w:rsidRDefault="00BE7B21" w:rsidP="00BE7B21">
      <w:pPr>
        <w:spacing w:line="360" w:lineRule="auto"/>
        <w:ind w:left="240" w:hanging="240"/>
      </w:pPr>
      <w:r>
        <w:rPr>
          <w:rFonts w:hint="eastAsia"/>
        </w:rPr>
        <w:t>２</w:t>
      </w:r>
      <w:r w:rsidR="00E21BC5">
        <w:rPr>
          <w:rFonts w:hint="eastAsia"/>
        </w:rPr>
        <w:t>．外為円決済母店は、１か店に限る。</w:t>
      </w:r>
    </w:p>
    <w:p w:rsidR="00E21BC5" w:rsidRDefault="00BE7B21">
      <w:pPr>
        <w:spacing w:line="360" w:lineRule="auto"/>
        <w:ind w:left="240" w:hanging="240"/>
      </w:pPr>
      <w:r>
        <w:rPr>
          <w:rFonts w:hint="eastAsia"/>
        </w:rPr>
        <w:t>３</w:t>
      </w:r>
      <w:r w:rsidR="00E21BC5">
        <w:rPr>
          <w:rFonts w:hint="eastAsia"/>
        </w:rPr>
        <w:t>．日本銀行との間で当座勘定（同時決済口）に関する約定を締結した利用金融機関の外為円決済母店は、当該利用金融機関の営業所等のうち、当座勘定（同時決済口）における取引を行うものに限る。</w:t>
      </w:r>
    </w:p>
    <w:p w:rsidR="00E21BC5" w:rsidRDefault="00BE7B21">
      <w:pPr>
        <w:spacing w:line="360" w:lineRule="auto"/>
        <w:ind w:left="240" w:hanging="240"/>
      </w:pPr>
      <w:r>
        <w:rPr>
          <w:rFonts w:hint="eastAsia"/>
        </w:rPr>
        <w:t>４</w:t>
      </w:r>
      <w:r w:rsidR="00E21BC5">
        <w:rPr>
          <w:rFonts w:hint="eastAsia"/>
        </w:rPr>
        <w:t>．第１項の規定による申出の手続は、日本銀行が別に定めるところによる</w:t>
      </w:r>
      <w:r w:rsidR="00E21BC5">
        <w:rPr>
          <w:rFonts w:hint="eastAsia"/>
        </w:rPr>
        <w:lastRenderedPageBreak/>
        <w:t>ものとする。</w:t>
      </w:r>
    </w:p>
    <w:p w:rsidR="00EE026D" w:rsidRDefault="00EE026D">
      <w:pPr>
        <w:spacing w:line="360" w:lineRule="auto"/>
        <w:ind w:left="240" w:hanging="240"/>
        <w:rPr>
          <w:rFonts w:hint="eastAsia"/>
        </w:rPr>
      </w:pPr>
    </w:p>
    <w:p w:rsidR="00E21BC5" w:rsidRDefault="00E21BC5">
      <w:pPr>
        <w:spacing w:line="360" w:lineRule="auto"/>
        <w:ind w:left="720" w:hanging="720"/>
      </w:pPr>
      <w:r>
        <w:rPr>
          <w:rFonts w:hint="eastAsia"/>
        </w:rPr>
        <w:t>（届出事項）</w:t>
      </w:r>
    </w:p>
    <w:p w:rsidR="00E21BC5" w:rsidRDefault="00E21BC5">
      <w:pPr>
        <w:pStyle w:val="2"/>
        <w:spacing w:line="360" w:lineRule="auto"/>
        <w:ind w:left="240" w:hanging="240"/>
      </w:pPr>
      <w:r>
        <w:rPr>
          <w:rFonts w:hint="eastAsia"/>
        </w:rPr>
        <w:t>第３条　利用金融機関は、次の各号に掲げる事項を予め日本銀行に届出るものとする。これを変更する場合も、同様とする。</w:t>
      </w:r>
    </w:p>
    <w:p w:rsidR="00E21BC5" w:rsidRDefault="00E21BC5">
      <w:pPr>
        <w:spacing w:line="360" w:lineRule="auto"/>
        <w:ind w:left="480" w:hanging="480"/>
      </w:pPr>
      <w:r>
        <w:rPr>
          <w:rFonts w:hint="eastAsia"/>
        </w:rPr>
        <w:t>（１）商号</w:t>
      </w:r>
    </w:p>
    <w:p w:rsidR="00E21BC5" w:rsidRDefault="00E21BC5">
      <w:pPr>
        <w:spacing w:line="360" w:lineRule="auto"/>
        <w:ind w:left="480" w:hanging="480"/>
      </w:pPr>
      <w:r>
        <w:rPr>
          <w:rFonts w:hint="eastAsia"/>
        </w:rPr>
        <w:t>（２）所在地</w:t>
      </w:r>
    </w:p>
    <w:p w:rsidR="00E21BC5" w:rsidRDefault="00E21BC5">
      <w:pPr>
        <w:spacing w:line="360" w:lineRule="auto"/>
        <w:ind w:left="480" w:hanging="480"/>
      </w:pPr>
      <w:r>
        <w:rPr>
          <w:rFonts w:hint="eastAsia"/>
        </w:rPr>
        <w:t>（３）代表者の氏名</w:t>
      </w:r>
    </w:p>
    <w:p w:rsidR="00E21BC5" w:rsidRDefault="00E21BC5">
      <w:pPr>
        <w:spacing w:line="360" w:lineRule="auto"/>
        <w:ind w:left="480" w:hanging="480"/>
      </w:pPr>
      <w:r>
        <w:rPr>
          <w:rFonts w:hint="eastAsia"/>
        </w:rPr>
        <w:t>（４）外国為替円決済制度関係事務についての日銀ネットの利用に関する申出または届出を代理人により行わせる場合にはその氏名</w:t>
      </w:r>
    </w:p>
    <w:p w:rsidR="00E21BC5" w:rsidRDefault="00E21BC5">
      <w:pPr>
        <w:spacing w:line="360" w:lineRule="auto"/>
        <w:ind w:left="480" w:hanging="480"/>
      </w:pPr>
      <w:r>
        <w:rPr>
          <w:rFonts w:hint="eastAsia"/>
        </w:rPr>
        <w:t>（５）（３）の代表者または（４）の代理人が申出または届出に使用する印鑑または署名鑑</w:t>
      </w:r>
    </w:p>
    <w:p w:rsidR="00E21BC5" w:rsidRDefault="00E21BC5">
      <w:pPr>
        <w:spacing w:line="360" w:lineRule="auto"/>
        <w:ind w:left="480" w:hanging="480"/>
      </w:pPr>
      <w:r>
        <w:rPr>
          <w:rFonts w:hint="eastAsia"/>
        </w:rPr>
        <w:t>（６）その他日本銀行が定める事項</w:t>
      </w:r>
    </w:p>
    <w:p w:rsidR="00F35D52" w:rsidRDefault="00F35D52">
      <w:pPr>
        <w:spacing w:line="360" w:lineRule="auto"/>
        <w:ind w:left="480" w:hanging="480"/>
      </w:pPr>
    </w:p>
    <w:p w:rsidR="00E21BC5" w:rsidRDefault="00E21BC5">
      <w:pPr>
        <w:pStyle w:val="2"/>
        <w:spacing w:line="360" w:lineRule="auto"/>
        <w:ind w:left="240" w:hanging="240"/>
      </w:pPr>
      <w:r>
        <w:rPr>
          <w:rFonts w:hint="eastAsia"/>
        </w:rPr>
        <w:t>２．</w:t>
      </w:r>
      <w:r w:rsidR="00F35D52">
        <w:rPr>
          <w:rFonts w:hint="eastAsia"/>
        </w:rPr>
        <w:t>一般社団法人全国銀行協会</w:t>
      </w:r>
      <w:r>
        <w:rPr>
          <w:rFonts w:hint="eastAsia"/>
        </w:rPr>
        <w:t>（以下「協会」という。）は、次の各号に掲げる事項を予め日本銀行に届出るものとする。これを変更する場合も、同様とする。</w:t>
      </w:r>
    </w:p>
    <w:p w:rsidR="00E21BC5" w:rsidRDefault="00E21BC5">
      <w:pPr>
        <w:pStyle w:val="2"/>
        <w:spacing w:line="360" w:lineRule="auto"/>
        <w:ind w:left="240" w:hanging="240"/>
      </w:pPr>
      <w:r>
        <w:rPr>
          <w:rFonts w:hint="eastAsia"/>
        </w:rPr>
        <w:t>（１）名称</w:t>
      </w:r>
    </w:p>
    <w:p w:rsidR="00E21BC5" w:rsidRDefault="00E21BC5">
      <w:pPr>
        <w:spacing w:line="360" w:lineRule="auto"/>
        <w:ind w:left="480" w:hanging="480"/>
      </w:pPr>
      <w:r>
        <w:rPr>
          <w:rFonts w:hint="eastAsia"/>
        </w:rPr>
        <w:t>（２）所在地</w:t>
      </w:r>
    </w:p>
    <w:p w:rsidR="00E21BC5" w:rsidRDefault="00E21BC5">
      <w:pPr>
        <w:spacing w:line="360" w:lineRule="auto"/>
        <w:ind w:left="480" w:hanging="480"/>
      </w:pPr>
      <w:r>
        <w:rPr>
          <w:rFonts w:hint="eastAsia"/>
        </w:rPr>
        <w:t>（３）代表者の氏名</w:t>
      </w:r>
    </w:p>
    <w:p w:rsidR="00E21BC5" w:rsidRDefault="00E21BC5">
      <w:pPr>
        <w:spacing w:line="360" w:lineRule="auto"/>
        <w:ind w:left="480" w:hanging="480"/>
      </w:pPr>
      <w:r>
        <w:rPr>
          <w:rFonts w:hint="eastAsia"/>
        </w:rPr>
        <w:t>（４）（３）の代表者が申出または届出に使用する印鑑または署名鑑</w:t>
      </w:r>
    </w:p>
    <w:p w:rsidR="00E21BC5" w:rsidRDefault="00E21BC5">
      <w:pPr>
        <w:spacing w:line="360" w:lineRule="auto"/>
        <w:ind w:left="480" w:hanging="480"/>
      </w:pPr>
      <w:r>
        <w:rPr>
          <w:rFonts w:hint="eastAsia"/>
        </w:rPr>
        <w:t>（５）その他日本銀行が定める事項</w:t>
      </w:r>
    </w:p>
    <w:p w:rsidR="00E21BC5" w:rsidRDefault="00E21BC5">
      <w:pPr>
        <w:spacing w:line="360" w:lineRule="auto"/>
        <w:ind w:left="240" w:hanging="240"/>
      </w:pPr>
      <w:r>
        <w:rPr>
          <w:rFonts w:hint="eastAsia"/>
        </w:rPr>
        <w:t>３．前２項の規定による届出の手続は、日本銀行が別に定めるところによるものとする。</w:t>
      </w:r>
    </w:p>
    <w:p w:rsidR="00E21BC5" w:rsidRDefault="00E21BC5">
      <w:pPr>
        <w:spacing w:line="360" w:lineRule="auto"/>
        <w:ind w:left="240" w:hanging="240"/>
      </w:pPr>
      <w:r>
        <w:rPr>
          <w:rFonts w:hint="eastAsia"/>
        </w:rPr>
        <w:lastRenderedPageBreak/>
        <w:t>４．第１項および第２項の規定により現に届出られている事項が事実と異なるために、日本銀行からの書面等が延着し、または到着しなかった場合には、当該書面等は通常到着すべき時に到着したものとみなす。</w:t>
      </w:r>
    </w:p>
    <w:p w:rsidR="00E21BC5" w:rsidRDefault="00E21BC5" w:rsidP="00EE026D">
      <w:pPr>
        <w:spacing w:afterLines="50" w:after="180" w:line="360" w:lineRule="auto"/>
        <w:ind w:left="720" w:hanging="720"/>
      </w:pPr>
      <w:r>
        <w:rPr>
          <w:rFonts w:hint="eastAsia"/>
        </w:rPr>
        <w:t>（支払指図電文等の伝送依頼）</w:t>
      </w:r>
    </w:p>
    <w:p w:rsidR="00E21BC5" w:rsidRDefault="00E21BC5">
      <w:pPr>
        <w:pStyle w:val="2"/>
        <w:snapToGrid w:val="0"/>
        <w:spacing w:line="360" w:lineRule="auto"/>
        <w:ind w:left="238" w:hanging="238"/>
      </w:pPr>
      <w:r>
        <w:rPr>
          <w:rFonts w:hint="eastAsia"/>
        </w:rPr>
        <w:t>第４条　利用金融機関は、日銀ネットを利用して、支払指図の電文の伝送を日本銀行に依頼することができる。</w:t>
      </w:r>
    </w:p>
    <w:p w:rsidR="00E21BC5" w:rsidRDefault="00E21BC5">
      <w:pPr>
        <w:pStyle w:val="2"/>
        <w:snapToGrid w:val="0"/>
        <w:spacing w:line="360" w:lineRule="auto"/>
        <w:ind w:left="238" w:hanging="238"/>
      </w:pPr>
      <w:r>
        <w:rPr>
          <w:rFonts w:hint="eastAsia"/>
        </w:rPr>
        <w:t>２． 利用金融機関は、前項の依頼を行うに当たっては、支払指図にかかる債務の決済の方法として、通常口振替（支払指図の電文に記載された金額を依頼金融機関（支払指図の電文の伝送を依頼した利用金融機関をいう。以下同じ</w:t>
      </w:r>
      <w:r w:rsidR="00CF322E">
        <w:rPr>
          <w:rFonts w:hint="eastAsia"/>
        </w:rPr>
        <w:t>。</w:t>
      </w:r>
      <w:r>
        <w:rPr>
          <w:rFonts w:hint="eastAsia"/>
        </w:rPr>
        <w:t>）の外為円決済母店名義の当座勘定（当座勘定（同時決済口）以外の当座勘定をいう。以下同じ。）から引落し、これを相手方金融機関（支払指図の相手方である利用金融機関をいう。以下同じ。）の外為円決済母店名義の当座勘定に入金することをいう。以下同じ。）または同時決済口振替（支払指図の電文に記載された金額を依頼金融機関の外為円決済母店名義の当座勘定（同時決済口）から引落し、これを相手方金融機関の外為円決済母店名義の当座勘定（同時決済口）に入金することをいう。以下同じ。）のいずれかを選択するものとする。</w:t>
      </w:r>
    </w:p>
    <w:p w:rsidR="00E21BC5" w:rsidRDefault="00E21BC5">
      <w:pPr>
        <w:pStyle w:val="2"/>
        <w:snapToGrid w:val="0"/>
        <w:spacing w:line="360" w:lineRule="auto"/>
        <w:ind w:left="238" w:hanging="238"/>
      </w:pPr>
      <w:r>
        <w:rPr>
          <w:rFonts w:hint="eastAsia"/>
        </w:rPr>
        <w:t>３．日本銀行が伝送した支払指図の電文は、取消すことができない。</w:t>
      </w:r>
    </w:p>
    <w:p w:rsidR="00E21BC5" w:rsidRDefault="00E21BC5">
      <w:pPr>
        <w:pStyle w:val="2"/>
        <w:snapToGrid w:val="0"/>
        <w:spacing w:line="360" w:lineRule="auto"/>
        <w:ind w:left="238" w:hanging="238"/>
      </w:pPr>
      <w:r>
        <w:rPr>
          <w:rFonts w:hint="eastAsia"/>
        </w:rPr>
        <w:t>４．利用金融機関は、日銀ネットを利用して、日本銀行が別に定めるメッセージの電文の伝送を日本銀行に依頼することができる。</w:t>
      </w:r>
    </w:p>
    <w:p w:rsidR="00E21BC5" w:rsidRDefault="00E21BC5">
      <w:pPr>
        <w:snapToGrid w:val="0"/>
        <w:spacing w:line="360" w:lineRule="auto"/>
        <w:ind w:left="238" w:hanging="238"/>
      </w:pPr>
      <w:r>
        <w:rPr>
          <w:rFonts w:hint="eastAsia"/>
        </w:rPr>
        <w:t>５．第１項および前項の依頼は、日本銀行が別に定める時間帯に行うものとする。</w:t>
      </w:r>
    </w:p>
    <w:p w:rsidR="00E21BC5" w:rsidRDefault="00E21BC5">
      <w:pPr>
        <w:spacing w:line="360" w:lineRule="auto"/>
        <w:ind w:left="720" w:hanging="720"/>
        <w:rPr>
          <w:color w:val="FF0000"/>
        </w:rPr>
      </w:pPr>
    </w:p>
    <w:p w:rsidR="00E21BC5" w:rsidRDefault="00E21BC5" w:rsidP="00EE026D">
      <w:pPr>
        <w:snapToGrid w:val="0"/>
        <w:spacing w:afterLines="50" w:after="180" w:line="360" w:lineRule="auto"/>
        <w:jc w:val="left"/>
      </w:pPr>
      <w:r>
        <w:rPr>
          <w:rFonts w:hint="eastAsia"/>
        </w:rPr>
        <w:t>（日本銀行における通常口支払指図の電文の取扱い）</w:t>
      </w:r>
    </w:p>
    <w:p w:rsidR="00E21BC5" w:rsidRDefault="00E21BC5">
      <w:pPr>
        <w:pStyle w:val="2"/>
        <w:snapToGrid w:val="0"/>
        <w:spacing w:line="360" w:lineRule="auto"/>
        <w:ind w:left="240" w:hangingChars="100" w:hanging="240"/>
        <w:jc w:val="left"/>
      </w:pPr>
      <w:r>
        <w:rPr>
          <w:rFonts w:hint="eastAsia"/>
        </w:rPr>
        <w:t>第５条　日本銀行は、通常口振替を指定した支払指図（以下「通常口支払指図」という。）の電文の伝送の依頼を受けた場合であって、</w:t>
      </w:r>
      <w:r w:rsidR="00A16B8B" w:rsidRPr="00A16B8B">
        <w:rPr>
          <w:rFonts w:hint="eastAsia"/>
        </w:rPr>
        <w:t>その記載が日本銀行が別に定める形式に従っている</w:t>
      </w:r>
      <w:r>
        <w:rPr>
          <w:rFonts w:hint="eastAsia"/>
        </w:rPr>
        <w:t>ときは、通常口振替を行うに当たって、利用金融機関を当座勘定規定に規定する取引先と、当該依頼を同規定第５条に規定する振替依頼とそれぞれみなして、同規定の規定を適用する。</w:t>
      </w:r>
    </w:p>
    <w:p w:rsidR="00E21BC5" w:rsidRDefault="00E21BC5">
      <w:pPr>
        <w:pStyle w:val="2"/>
        <w:snapToGrid w:val="0"/>
        <w:spacing w:line="360" w:lineRule="auto"/>
        <w:ind w:hangingChars="150"/>
        <w:jc w:val="left"/>
      </w:pPr>
      <w:r>
        <w:rPr>
          <w:rFonts w:hint="eastAsia"/>
        </w:rPr>
        <w:t>２．日本銀行は、前項の依頼に基づき通常口振替を行う場合には、当該振替にかかる支払指図の電文を伝送する。</w:t>
      </w:r>
    </w:p>
    <w:p w:rsidR="00E21BC5" w:rsidRDefault="00E21BC5">
      <w:pPr>
        <w:snapToGrid w:val="0"/>
        <w:spacing w:line="360" w:lineRule="auto"/>
        <w:jc w:val="left"/>
      </w:pPr>
    </w:p>
    <w:p w:rsidR="00E21BC5" w:rsidRDefault="00E21BC5">
      <w:pPr>
        <w:pStyle w:val="2"/>
        <w:snapToGrid w:val="0"/>
        <w:spacing w:line="360" w:lineRule="auto"/>
        <w:ind w:left="0" w:firstLine="0"/>
        <w:jc w:val="left"/>
      </w:pPr>
      <w:r>
        <w:rPr>
          <w:rFonts w:hint="eastAsia"/>
        </w:rPr>
        <w:t>（日本銀行における同時決済口支払指図の電文の取扱い）</w:t>
      </w:r>
    </w:p>
    <w:p w:rsidR="00E21BC5" w:rsidRDefault="00E21BC5">
      <w:pPr>
        <w:pStyle w:val="2"/>
        <w:snapToGrid w:val="0"/>
        <w:spacing w:beforeLines="50" w:before="180" w:line="360" w:lineRule="auto"/>
        <w:ind w:left="240" w:hangingChars="100" w:hanging="240"/>
        <w:jc w:val="left"/>
      </w:pPr>
      <w:r>
        <w:rPr>
          <w:rFonts w:hint="eastAsia"/>
        </w:rPr>
        <w:t>第６条　日本銀行は、同時決済口振替を指定した支払指図（以下「同時決済口支払指図」という。）の電文の伝送の依頼を受けた場合であって、当該電文の記載が日本銀行が別に定める形式に従っているときは、同時決済口振替を行うに当たって、利用金融機関を当座勘定（同時決済口）に関する規則に規定する利用先と、当該依頼を同規則第９条に規定する振替依頼とそれぞれみなして、同規則の規定を適用する。</w:t>
      </w:r>
    </w:p>
    <w:p w:rsidR="00E21BC5" w:rsidRDefault="00E21BC5">
      <w:pPr>
        <w:pStyle w:val="2"/>
        <w:snapToGrid w:val="0"/>
        <w:spacing w:line="360" w:lineRule="auto"/>
        <w:ind w:left="240" w:hangingChars="100" w:hanging="240"/>
        <w:jc w:val="left"/>
      </w:pPr>
      <w:r>
        <w:rPr>
          <w:rFonts w:hint="eastAsia"/>
          <w:szCs w:val="24"/>
        </w:rPr>
        <w:t>２</w:t>
      </w:r>
      <w:r>
        <w:rPr>
          <w:rFonts w:hint="eastAsia"/>
        </w:rPr>
        <w:t>．日本銀行は、前項の依頼に基づき同時決済口振替を行う場合には、当該振替にかかる支払指図の電文を伝送する。</w:t>
      </w:r>
    </w:p>
    <w:p w:rsidR="00E21BC5" w:rsidRDefault="00E21BC5">
      <w:pPr>
        <w:pStyle w:val="2"/>
        <w:snapToGrid w:val="0"/>
        <w:spacing w:line="360" w:lineRule="auto"/>
        <w:ind w:left="0" w:firstLine="0"/>
        <w:jc w:val="left"/>
      </w:pPr>
    </w:p>
    <w:p w:rsidR="00E21BC5" w:rsidRDefault="00E21BC5" w:rsidP="00EE026D">
      <w:pPr>
        <w:spacing w:line="360" w:lineRule="auto"/>
      </w:pPr>
      <w:r>
        <w:rPr>
          <w:rFonts w:hint="eastAsia"/>
        </w:rPr>
        <w:t>（メッセージ電文の取扱い）</w:t>
      </w:r>
    </w:p>
    <w:p w:rsidR="00E21BC5" w:rsidRDefault="00E21BC5">
      <w:pPr>
        <w:pStyle w:val="2"/>
        <w:snapToGrid w:val="0"/>
        <w:spacing w:line="360" w:lineRule="auto"/>
        <w:ind w:left="240" w:hangingChars="100" w:hanging="240"/>
        <w:jc w:val="left"/>
      </w:pPr>
      <w:r>
        <w:rPr>
          <w:rFonts w:hint="eastAsia"/>
        </w:rPr>
        <w:t>第７条　日本銀行は、第４条第４項に規定するメッセージ電文の伝送の依頼を受けた場合であって、その記載が日本銀行が別に定める形式に従っているものを受信した場合には、その依頼に基づき、電文を伝送する。</w:t>
      </w:r>
    </w:p>
    <w:p w:rsidR="00E21BC5" w:rsidRDefault="00E21BC5">
      <w:pPr>
        <w:spacing w:line="360" w:lineRule="auto"/>
      </w:pPr>
    </w:p>
    <w:p w:rsidR="00E21BC5" w:rsidRDefault="00E21BC5">
      <w:pPr>
        <w:spacing w:line="360" w:lineRule="auto"/>
      </w:pPr>
      <w:r>
        <w:rPr>
          <w:rFonts w:hint="eastAsia"/>
        </w:rPr>
        <w:t>（事務処理の通知）</w:t>
      </w:r>
    </w:p>
    <w:p w:rsidR="00E21BC5" w:rsidRDefault="00E21BC5">
      <w:pPr>
        <w:spacing w:line="360" w:lineRule="auto"/>
        <w:ind w:left="250" w:hangingChars="100" w:hanging="250"/>
      </w:pPr>
      <w:r>
        <w:rPr>
          <w:rFonts w:hint="eastAsia"/>
        </w:rPr>
        <w:t>第８条　日本銀行は、第５条に規定する通常口支払指図電文の伝送を行った場合、第６条に規定する同時決済口支払指図電文の伝送を行った場合または前条に規定するメッセージ電文の伝送を行った場合には、それらの電文の伝送の依頼を行った利用金融機関</w:t>
      </w:r>
      <w:r w:rsidR="00A16B8B" w:rsidRPr="00A16B8B">
        <w:rPr>
          <w:rFonts w:hint="eastAsia"/>
        </w:rPr>
        <w:t>およびそれらの電文における支払指図等の相手方である利用金融機関</w:t>
      </w:r>
      <w:r>
        <w:rPr>
          <w:rFonts w:hint="eastAsia"/>
        </w:rPr>
        <w:t>に対し、日銀ネットによりその旨を通知する。</w:t>
      </w:r>
    </w:p>
    <w:p w:rsidR="00E21BC5" w:rsidRDefault="00E21BC5">
      <w:pPr>
        <w:spacing w:line="360" w:lineRule="auto"/>
      </w:pPr>
    </w:p>
    <w:p w:rsidR="00EE026D" w:rsidRDefault="00EE026D">
      <w:pPr>
        <w:spacing w:line="360" w:lineRule="auto"/>
        <w:rPr>
          <w:rFonts w:hint="eastAsia"/>
        </w:rPr>
      </w:pPr>
      <w:bookmarkStart w:id="0" w:name="_GoBack"/>
      <w:bookmarkEnd w:id="0"/>
    </w:p>
    <w:p w:rsidR="00E21BC5" w:rsidRDefault="00E21BC5" w:rsidP="00EE026D">
      <w:pPr>
        <w:spacing w:line="360" w:lineRule="auto"/>
      </w:pPr>
      <w:r>
        <w:rPr>
          <w:rFonts w:hint="eastAsia"/>
        </w:rPr>
        <w:t>（照　会）</w:t>
      </w:r>
    </w:p>
    <w:p w:rsidR="00E21BC5" w:rsidRDefault="00E21BC5">
      <w:pPr>
        <w:pStyle w:val="2"/>
        <w:autoSpaceDE w:val="0"/>
        <w:autoSpaceDN w:val="0"/>
        <w:spacing w:line="360" w:lineRule="auto"/>
        <w:ind w:left="240" w:hanging="240"/>
      </w:pPr>
      <w:r>
        <w:rPr>
          <w:rFonts w:hint="eastAsia"/>
        </w:rPr>
        <w:t>第９条　利用金融機関は、日銀ネットを利用して、日本銀行が別に定める事項について照会することができる。</w:t>
      </w:r>
    </w:p>
    <w:p w:rsidR="00E21BC5" w:rsidRDefault="00E21BC5">
      <w:pPr>
        <w:spacing w:line="360" w:lineRule="auto"/>
        <w:ind w:left="720" w:hanging="720"/>
      </w:pPr>
    </w:p>
    <w:p w:rsidR="00E21BC5" w:rsidRDefault="00E21BC5">
      <w:pPr>
        <w:spacing w:line="360" w:lineRule="auto"/>
        <w:ind w:left="720" w:hanging="720"/>
      </w:pPr>
      <w:r>
        <w:rPr>
          <w:rFonts w:hint="eastAsia"/>
        </w:rPr>
        <w:t>（手数料の支払義務）</w:t>
      </w:r>
    </w:p>
    <w:p w:rsidR="00E21BC5" w:rsidRDefault="00E21BC5">
      <w:pPr>
        <w:pStyle w:val="2"/>
        <w:autoSpaceDE w:val="0"/>
        <w:autoSpaceDN w:val="0"/>
        <w:spacing w:line="360" w:lineRule="auto"/>
        <w:ind w:left="240" w:hanging="240"/>
      </w:pPr>
      <w:r>
        <w:rPr>
          <w:rFonts w:hint="eastAsia"/>
        </w:rPr>
        <w:t>第1</w:t>
      </w:r>
      <w:r w:rsidR="00DB09AA">
        <w:rPr>
          <w:rFonts w:hint="eastAsia"/>
        </w:rPr>
        <w:t>0</w:t>
      </w:r>
      <w:r>
        <w:rPr>
          <w:rFonts w:hint="eastAsia"/>
        </w:rPr>
        <w:t>条　利用金融機関は、日銀ネットの利用に関して日本銀行が別に定める手数料を日本銀行に支払うものとする。</w:t>
      </w:r>
    </w:p>
    <w:p w:rsidR="00E21BC5" w:rsidRDefault="00E21BC5">
      <w:pPr>
        <w:autoSpaceDE w:val="0"/>
        <w:autoSpaceDN w:val="0"/>
        <w:spacing w:line="360" w:lineRule="auto"/>
        <w:ind w:left="720" w:hanging="720"/>
      </w:pPr>
    </w:p>
    <w:p w:rsidR="00E21BC5" w:rsidRDefault="00E21BC5">
      <w:pPr>
        <w:autoSpaceDE w:val="0"/>
        <w:autoSpaceDN w:val="0"/>
        <w:spacing w:line="360" w:lineRule="auto"/>
        <w:ind w:left="720" w:hanging="720"/>
      </w:pPr>
      <w:r>
        <w:rPr>
          <w:rFonts w:hint="eastAsia"/>
        </w:rPr>
        <w:t>（免　責）</w:t>
      </w:r>
    </w:p>
    <w:p w:rsidR="00E21BC5" w:rsidRDefault="00E21BC5">
      <w:pPr>
        <w:pStyle w:val="2"/>
        <w:autoSpaceDE w:val="0"/>
        <w:autoSpaceDN w:val="0"/>
        <w:spacing w:line="360" w:lineRule="auto"/>
        <w:ind w:left="240" w:hanging="240"/>
      </w:pPr>
      <w:r>
        <w:rPr>
          <w:rFonts w:hint="eastAsia"/>
        </w:rPr>
        <w:t>第1</w:t>
      </w:r>
      <w:r w:rsidR="00DB09AA">
        <w:rPr>
          <w:rFonts w:hint="eastAsia"/>
        </w:rPr>
        <w:t>1</w:t>
      </w:r>
      <w:r>
        <w:rPr>
          <w:rFonts w:hint="eastAsia"/>
        </w:rPr>
        <w:t>条　日本銀行が相当の注意をもってその受付けた書面の印影または署名を第３条の規定により利用金融機関または協会が届出た印鑑または署名鑑と相違ないものとして認めた場合には、その届出にかかる利用金融機関または協会が当該書面により届出または申出を行ったものとみなす。</w:t>
      </w:r>
    </w:p>
    <w:p w:rsidR="00E21BC5" w:rsidRDefault="00E21BC5">
      <w:pPr>
        <w:spacing w:line="360" w:lineRule="auto"/>
        <w:ind w:left="240" w:hanging="240"/>
      </w:pPr>
      <w:r>
        <w:rPr>
          <w:rFonts w:hint="eastAsia"/>
        </w:rPr>
        <w:t>２．前項の場合において、日本銀行は、当該書面について偽造、変造その他の事故があったために生じた損害については、責任を負わない。</w:t>
      </w:r>
    </w:p>
    <w:p w:rsidR="00E21BC5" w:rsidRDefault="00E21BC5">
      <w:pPr>
        <w:snapToGrid w:val="0"/>
        <w:spacing w:line="360" w:lineRule="auto"/>
        <w:ind w:left="250" w:hangingChars="100" w:hanging="250"/>
        <w:jc w:val="left"/>
      </w:pPr>
      <w:r>
        <w:rPr>
          <w:rFonts w:hint="eastAsia"/>
        </w:rPr>
        <w:t>３．日本銀行は、第４条に規定する依頼のための電文を受信した場合において、その電文をこの規則の定めるところにより相当の注意をもって取扱ったときは、利用金融機関において事務の処理が遅延し、または不能もしくは不完全となったために生じた損害については、責任を負わない。</w:t>
      </w:r>
    </w:p>
    <w:p w:rsidR="00E21BC5" w:rsidRDefault="00E21BC5">
      <w:pPr>
        <w:spacing w:line="360" w:lineRule="auto"/>
        <w:ind w:left="240" w:hanging="240"/>
      </w:pPr>
      <w:r>
        <w:rPr>
          <w:rFonts w:hint="eastAsia"/>
        </w:rPr>
        <w:t>４．日本銀行は、利用金融機関または協会がこの規則、第1</w:t>
      </w:r>
      <w:r w:rsidR="00FC6AA2">
        <w:rPr>
          <w:rFonts w:hint="eastAsia"/>
        </w:rPr>
        <w:t>2</w:t>
      </w:r>
      <w:r>
        <w:rPr>
          <w:rFonts w:hint="eastAsia"/>
        </w:rPr>
        <w:t>条の規定により日本銀行が指示した事項または第1</w:t>
      </w:r>
      <w:r w:rsidR="00FC6AA2">
        <w:rPr>
          <w:rFonts w:hint="eastAsia"/>
        </w:rPr>
        <w:t>3</w:t>
      </w:r>
      <w:r>
        <w:rPr>
          <w:rFonts w:hint="eastAsia"/>
        </w:rPr>
        <w:t>条の規定により日本銀行が定めた事項に違反したために生じた損害については、責任を負わない。</w:t>
      </w:r>
    </w:p>
    <w:p w:rsidR="00E21BC5" w:rsidRDefault="00E21BC5">
      <w:pPr>
        <w:spacing w:line="360" w:lineRule="auto"/>
        <w:ind w:left="720" w:hanging="720"/>
      </w:pPr>
      <w:r>
        <w:rPr>
          <w:rFonts w:hint="eastAsia"/>
        </w:rPr>
        <w:t>（日銀ネットの端末装置等の障害時等の取扱い）</w:t>
      </w:r>
    </w:p>
    <w:p w:rsidR="00E21BC5" w:rsidRDefault="00E21BC5">
      <w:pPr>
        <w:pStyle w:val="2"/>
        <w:autoSpaceDE w:val="0"/>
        <w:autoSpaceDN w:val="0"/>
        <w:spacing w:line="360" w:lineRule="auto"/>
        <w:ind w:left="240" w:hanging="240"/>
      </w:pPr>
      <w:r>
        <w:rPr>
          <w:rFonts w:hint="eastAsia"/>
        </w:rPr>
        <w:t>第1</w:t>
      </w:r>
      <w:r w:rsidR="00DB09AA">
        <w:rPr>
          <w:rFonts w:hint="eastAsia"/>
        </w:rPr>
        <w:t>2</w:t>
      </w:r>
      <w:r>
        <w:rPr>
          <w:rFonts w:hint="eastAsia"/>
        </w:rPr>
        <w:t>条　日本銀行は、利用金融機関における日銀ネットの端末装置、回線等の障害等により、この規則の規定による取扱いができないと認めた場合には、この規則の規定と異なる取扱いをし、または利用金融機関にこの規則の規定と異なる取扱いを指示することができる。</w:t>
      </w:r>
    </w:p>
    <w:p w:rsidR="00E21BC5" w:rsidRDefault="00E21BC5">
      <w:pPr>
        <w:autoSpaceDE w:val="0"/>
        <w:autoSpaceDN w:val="0"/>
        <w:spacing w:line="360" w:lineRule="auto"/>
        <w:ind w:left="720" w:hanging="720"/>
      </w:pPr>
    </w:p>
    <w:p w:rsidR="00E21BC5" w:rsidRDefault="00E21BC5">
      <w:pPr>
        <w:autoSpaceDE w:val="0"/>
        <w:autoSpaceDN w:val="0"/>
        <w:spacing w:line="360" w:lineRule="auto"/>
        <w:ind w:left="720" w:hanging="720"/>
      </w:pPr>
      <w:r>
        <w:rPr>
          <w:rFonts w:hint="eastAsia"/>
        </w:rPr>
        <w:t>（所要事項の決定等）</w:t>
      </w:r>
    </w:p>
    <w:p w:rsidR="00E21BC5" w:rsidRDefault="00E21BC5">
      <w:pPr>
        <w:pStyle w:val="2"/>
        <w:autoSpaceDE w:val="0"/>
        <w:autoSpaceDN w:val="0"/>
        <w:spacing w:line="360" w:lineRule="auto"/>
        <w:ind w:left="240" w:hanging="240"/>
      </w:pPr>
      <w:r>
        <w:rPr>
          <w:rFonts w:hint="eastAsia"/>
        </w:rPr>
        <w:t>第1</w:t>
      </w:r>
      <w:r w:rsidR="00DB09AA">
        <w:rPr>
          <w:rFonts w:hint="eastAsia"/>
        </w:rPr>
        <w:t>3</w:t>
      </w:r>
      <w:r>
        <w:rPr>
          <w:rFonts w:hint="eastAsia"/>
        </w:rPr>
        <w:t>条　日本銀行は、外国為替円決済制度関係事務についての日銀ネットの適切な利用を確保するため、この規則に定めるもののほか、所要の事項を定め、または所要の措置を講ずることができる。</w:t>
      </w:r>
    </w:p>
    <w:p w:rsidR="00E21BC5" w:rsidRDefault="00E21BC5">
      <w:pPr>
        <w:spacing w:line="360" w:lineRule="auto"/>
        <w:ind w:left="720" w:hanging="720"/>
      </w:pPr>
    </w:p>
    <w:p w:rsidR="00E21BC5" w:rsidRDefault="00E21BC5">
      <w:pPr>
        <w:spacing w:line="360" w:lineRule="auto"/>
        <w:ind w:left="720" w:hanging="720"/>
      </w:pPr>
      <w:r>
        <w:rPr>
          <w:rFonts w:hint="eastAsia"/>
        </w:rPr>
        <w:t>（解約等）</w:t>
      </w:r>
    </w:p>
    <w:p w:rsidR="00E21BC5" w:rsidRDefault="00E21BC5">
      <w:pPr>
        <w:pStyle w:val="2"/>
        <w:autoSpaceDE w:val="0"/>
        <w:autoSpaceDN w:val="0"/>
        <w:spacing w:line="360" w:lineRule="auto"/>
        <w:ind w:left="238" w:hanging="238"/>
      </w:pPr>
      <w:r>
        <w:rPr>
          <w:rFonts w:hint="eastAsia"/>
        </w:rPr>
        <w:t>第1</w:t>
      </w:r>
      <w:r w:rsidR="00DB09AA">
        <w:rPr>
          <w:rFonts w:hint="eastAsia"/>
        </w:rPr>
        <w:t>4</w:t>
      </w:r>
      <w:r>
        <w:rPr>
          <w:rFonts w:hint="eastAsia"/>
        </w:rPr>
        <w:t>条　日本銀行または利用金融機関は、２か月の予告期間をもって約定を解約することができる。当該解約のための意思表示は、書面により行うものとする。</w:t>
      </w:r>
    </w:p>
    <w:p w:rsidR="00E21BC5" w:rsidRDefault="00E21BC5">
      <w:pPr>
        <w:spacing w:line="360" w:lineRule="auto"/>
        <w:ind w:left="240" w:hanging="240"/>
      </w:pPr>
      <w:r>
        <w:rPr>
          <w:rFonts w:hint="eastAsia"/>
        </w:rPr>
        <w:t>２．日本銀行は、次の各号の一に該当する場合には、直ちに当該利用金融機関との約定を解約し、第２条第１項の承認の全部もしくは一部を取消し、または当該利用金融機関による外国為替円決済制度関係事務についての日銀ネットの利用の全部もしくは一部を一定期間制限することができる。</w:t>
      </w:r>
    </w:p>
    <w:p w:rsidR="00E21BC5" w:rsidRDefault="00E21BC5">
      <w:pPr>
        <w:spacing w:line="360" w:lineRule="auto"/>
        <w:ind w:left="480" w:hanging="480"/>
      </w:pPr>
      <w:r>
        <w:rPr>
          <w:rFonts w:hint="eastAsia"/>
        </w:rPr>
        <w:t>（１）利用金融機関が制度規則または外国為替円決済制度施行細則に違反した場合</w:t>
      </w:r>
    </w:p>
    <w:p w:rsidR="00E21BC5" w:rsidRDefault="00E21BC5">
      <w:pPr>
        <w:spacing w:line="360" w:lineRule="auto"/>
        <w:ind w:left="480" w:hanging="480"/>
      </w:pPr>
      <w:r>
        <w:rPr>
          <w:rFonts w:hint="eastAsia"/>
        </w:rPr>
        <w:t>（２）利用金融機関がこの規則に違反した場合</w:t>
      </w:r>
    </w:p>
    <w:p w:rsidR="00E21BC5" w:rsidRDefault="00E21BC5">
      <w:pPr>
        <w:spacing w:line="360" w:lineRule="auto"/>
        <w:ind w:left="480" w:hanging="480"/>
      </w:pPr>
      <w:r>
        <w:rPr>
          <w:rFonts w:hint="eastAsia"/>
        </w:rPr>
        <w:t>（３）利用金融機関が第1</w:t>
      </w:r>
      <w:r w:rsidR="00FC6AA2">
        <w:rPr>
          <w:rFonts w:hint="eastAsia"/>
        </w:rPr>
        <w:t>2</w:t>
      </w:r>
      <w:r>
        <w:rPr>
          <w:rFonts w:hint="eastAsia"/>
        </w:rPr>
        <w:t>条の規定により日本銀行が指示した事項に違反した場合</w:t>
      </w:r>
    </w:p>
    <w:p w:rsidR="00E21BC5" w:rsidRDefault="00E21BC5">
      <w:pPr>
        <w:spacing w:line="360" w:lineRule="auto"/>
        <w:ind w:left="480" w:hanging="480"/>
      </w:pPr>
      <w:r>
        <w:rPr>
          <w:rFonts w:hint="eastAsia"/>
        </w:rPr>
        <w:t>（４）利用金融機関が第1</w:t>
      </w:r>
      <w:r w:rsidR="00FC6AA2">
        <w:rPr>
          <w:rFonts w:hint="eastAsia"/>
        </w:rPr>
        <w:t>3</w:t>
      </w:r>
      <w:r>
        <w:rPr>
          <w:rFonts w:hint="eastAsia"/>
        </w:rPr>
        <w:t>条の規定により日本銀行が定めた事項に違反した場合</w:t>
      </w:r>
    </w:p>
    <w:p w:rsidR="00E21BC5" w:rsidRDefault="00E21BC5">
      <w:pPr>
        <w:spacing w:line="360" w:lineRule="auto"/>
        <w:ind w:left="480" w:hanging="480"/>
      </w:pPr>
      <w:r>
        <w:rPr>
          <w:rFonts w:hint="eastAsia"/>
        </w:rPr>
        <w:t>（５）利用金融機関が日本銀行金融ネットワークシステム利用基本規則（以下「利用基本規則」という。）に違反した場合</w:t>
      </w:r>
    </w:p>
    <w:p w:rsidR="00E21BC5" w:rsidRDefault="00E21BC5">
      <w:pPr>
        <w:spacing w:line="360" w:lineRule="auto"/>
        <w:ind w:left="480" w:hanging="480"/>
      </w:pPr>
      <w:r>
        <w:rPr>
          <w:rFonts w:hint="eastAsia"/>
        </w:rPr>
        <w:t>（６）利用金融機関が利用基本規則第１０条の規定により日本銀行が指示した事項に違反した場合</w:t>
      </w:r>
    </w:p>
    <w:p w:rsidR="00E21BC5" w:rsidRDefault="00E21BC5">
      <w:pPr>
        <w:spacing w:line="360" w:lineRule="auto"/>
        <w:ind w:left="480" w:hanging="480"/>
      </w:pPr>
      <w:r>
        <w:rPr>
          <w:rFonts w:hint="eastAsia"/>
        </w:rPr>
        <w:t>（７）利用金融機関が利用基本規則第１１条の規定により日本銀行が定めた事項に違反した場合</w:t>
      </w:r>
    </w:p>
    <w:p w:rsidR="00FC6AA2" w:rsidRPr="00FC6AA2" w:rsidRDefault="00FC6AA2" w:rsidP="00FC6AA2">
      <w:pPr>
        <w:spacing w:line="360" w:lineRule="auto"/>
        <w:ind w:left="480" w:hanging="480"/>
      </w:pPr>
      <w:r w:rsidRPr="00FC6AA2">
        <w:rPr>
          <w:rFonts w:hint="eastAsia"/>
        </w:rPr>
        <w:t>（８）利用金融機関が当座勘定規定第19条第２項各号または当座勘定（同時決済口）に関する規則第24条第２項各号に掲げるいずれかに該当する場合。</w:t>
      </w:r>
    </w:p>
    <w:p w:rsidR="00E21BC5" w:rsidRDefault="00E21BC5">
      <w:pPr>
        <w:spacing w:line="360" w:lineRule="auto"/>
        <w:ind w:left="480" w:hanging="480"/>
      </w:pPr>
      <w:r>
        <w:rPr>
          <w:rFonts w:hint="eastAsia"/>
        </w:rPr>
        <w:t>（</w:t>
      </w:r>
      <w:r w:rsidR="00FC6AA2">
        <w:rPr>
          <w:rFonts w:hint="eastAsia"/>
        </w:rPr>
        <w:t>９</w:t>
      </w:r>
      <w:r>
        <w:rPr>
          <w:rFonts w:hint="eastAsia"/>
        </w:rPr>
        <w:t>）その他外国為替円決済制度関係事務についての日銀ネットの円滑な利用を阻害するおそれがあると日本銀行が認めた場合</w:t>
      </w:r>
    </w:p>
    <w:p w:rsidR="00E21BC5" w:rsidRDefault="00E21BC5">
      <w:pPr>
        <w:spacing w:line="360" w:lineRule="auto"/>
        <w:ind w:left="240" w:hanging="240"/>
      </w:pPr>
      <w:r>
        <w:rPr>
          <w:rFonts w:hint="eastAsia"/>
        </w:rPr>
        <w:t>３．日本銀行は、利用金融機関が制度規則の定めるところにより外国為替円決済制度の加盟銀行の資格を喪失した場合には、直ちに当該利用金融機関との約定を解約することができる。外国為替円決済制度の加盟銀行でない利用金融機関が外国為替円決済制度の参加銀行の資格を喪失したときも同様とする。</w:t>
      </w:r>
    </w:p>
    <w:p w:rsidR="00E21BC5" w:rsidRDefault="00E21BC5">
      <w:pPr>
        <w:spacing w:line="360" w:lineRule="auto"/>
        <w:ind w:left="240" w:hanging="240"/>
      </w:pPr>
      <w:r>
        <w:rPr>
          <w:rFonts w:hint="eastAsia"/>
        </w:rPr>
        <w:t>４．協会と日本銀行との外国為替円決済制度の交換決済事務の処理に関する委託契約が解約された場合には、協会および利用金融機関との約定は、解約されたものとみなす。</w:t>
      </w:r>
    </w:p>
    <w:p w:rsidR="00E21BC5" w:rsidRDefault="00E21BC5">
      <w:pPr>
        <w:spacing w:line="360" w:lineRule="auto"/>
        <w:ind w:left="720" w:hanging="720"/>
      </w:pPr>
    </w:p>
    <w:p w:rsidR="00E21BC5" w:rsidRDefault="00E21BC5">
      <w:pPr>
        <w:spacing w:line="360" w:lineRule="auto"/>
        <w:ind w:left="720" w:hanging="720"/>
      </w:pPr>
      <w:r>
        <w:rPr>
          <w:rFonts w:hint="eastAsia"/>
        </w:rPr>
        <w:t>（規則の改正）</w:t>
      </w:r>
    </w:p>
    <w:p w:rsidR="00E21BC5" w:rsidRDefault="00E21BC5">
      <w:pPr>
        <w:pStyle w:val="a5"/>
        <w:autoSpaceDE w:val="0"/>
        <w:autoSpaceDN w:val="0"/>
        <w:spacing w:line="360" w:lineRule="auto"/>
        <w:ind w:left="240" w:hanging="240"/>
      </w:pPr>
      <w:r>
        <w:rPr>
          <w:rFonts w:hint="eastAsia"/>
        </w:rPr>
        <w:t>第1</w:t>
      </w:r>
      <w:r w:rsidR="00FC6AA2">
        <w:rPr>
          <w:rFonts w:hint="eastAsia"/>
        </w:rPr>
        <w:t>5</w:t>
      </w:r>
      <w:r>
        <w:rPr>
          <w:rFonts w:hint="eastAsia"/>
        </w:rPr>
        <w:t>条　日本銀行は、外国為替円決済制度関係事務についての日銀ネットの適切な利用を確保するため、必要がある場合には、この規則を改正することができる。この場合においては、協会の意見を聴取する。</w:t>
      </w:r>
    </w:p>
    <w:sectPr w:rsidR="00E21BC5" w:rsidSect="00EE026D">
      <w:foot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507" w:rsidRDefault="00BA5507">
      <w:pPr>
        <w:spacing w:line="240" w:lineRule="auto"/>
      </w:pPr>
      <w:r>
        <w:separator/>
      </w:r>
    </w:p>
  </w:endnote>
  <w:endnote w:type="continuationSeparator" w:id="0">
    <w:p w:rsidR="00BA5507" w:rsidRDefault="00BA55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045" w:rsidRPr="00BF2EEE" w:rsidRDefault="00151045" w:rsidP="00151045">
    <w:pPr>
      <w:pStyle w:val="a3"/>
      <w:framePr w:wrap="around" w:vAnchor="text" w:hAnchor="margin" w:xAlign="center" w:y="1"/>
      <w:autoSpaceDE w:val="0"/>
      <w:autoSpaceDN w:val="0"/>
      <w:spacing w:line="240" w:lineRule="auto"/>
      <w:rPr>
        <w:rStyle w:val="aa"/>
        <w:rFonts w:hAnsi="ＭＳ 明朝"/>
        <w:sz w:val="21"/>
        <w:szCs w:val="21"/>
      </w:rPr>
    </w:pPr>
    <w:r w:rsidRPr="00BF2EEE">
      <w:rPr>
        <w:rStyle w:val="aa"/>
        <w:rFonts w:hAnsi="ＭＳ 明朝"/>
        <w:sz w:val="21"/>
        <w:szCs w:val="21"/>
      </w:rPr>
      <w:fldChar w:fldCharType="begin"/>
    </w:r>
    <w:r w:rsidRPr="00BF2EEE">
      <w:rPr>
        <w:rStyle w:val="aa"/>
        <w:rFonts w:hAnsi="ＭＳ 明朝"/>
        <w:sz w:val="21"/>
        <w:szCs w:val="21"/>
      </w:rPr>
      <w:instrText xml:space="preserve">PAGE  </w:instrText>
    </w:r>
    <w:r w:rsidRPr="00BF2EEE">
      <w:rPr>
        <w:rStyle w:val="aa"/>
        <w:rFonts w:hAnsi="ＭＳ 明朝"/>
        <w:sz w:val="21"/>
        <w:szCs w:val="21"/>
      </w:rPr>
      <w:fldChar w:fldCharType="separate"/>
    </w:r>
    <w:r w:rsidR="00EE026D">
      <w:rPr>
        <w:rStyle w:val="aa"/>
        <w:rFonts w:hAnsi="ＭＳ 明朝"/>
        <w:noProof/>
        <w:sz w:val="21"/>
        <w:szCs w:val="21"/>
      </w:rPr>
      <w:t>1</w:t>
    </w:r>
    <w:r w:rsidRPr="00BF2EEE">
      <w:rPr>
        <w:rStyle w:val="aa"/>
        <w:rFonts w:hAnsi="ＭＳ 明朝"/>
        <w:sz w:val="21"/>
        <w:szCs w:val="21"/>
      </w:rPr>
      <w:fldChar w:fldCharType="end"/>
    </w:r>
  </w:p>
  <w:p w:rsidR="00151045" w:rsidRDefault="00151045" w:rsidP="00151045">
    <w:pPr>
      <w:pStyle w:val="a3"/>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507" w:rsidRDefault="00BA5507">
      <w:pPr>
        <w:spacing w:line="240" w:lineRule="auto"/>
      </w:pPr>
      <w:r>
        <w:separator/>
      </w:r>
    </w:p>
  </w:footnote>
  <w:footnote w:type="continuationSeparator" w:id="0">
    <w:p w:rsidR="00BA5507" w:rsidRDefault="00BA55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216"/>
    <w:rsid w:val="0008294A"/>
    <w:rsid w:val="000E2FFF"/>
    <w:rsid w:val="000E5427"/>
    <w:rsid w:val="00151045"/>
    <w:rsid w:val="00323491"/>
    <w:rsid w:val="003A0C9A"/>
    <w:rsid w:val="004217DF"/>
    <w:rsid w:val="00423C87"/>
    <w:rsid w:val="00545DD7"/>
    <w:rsid w:val="00567270"/>
    <w:rsid w:val="00707667"/>
    <w:rsid w:val="007D15E3"/>
    <w:rsid w:val="008B1F91"/>
    <w:rsid w:val="008E2590"/>
    <w:rsid w:val="009077FD"/>
    <w:rsid w:val="0096700B"/>
    <w:rsid w:val="00970EC0"/>
    <w:rsid w:val="009F3FF9"/>
    <w:rsid w:val="009F5658"/>
    <w:rsid w:val="00A13607"/>
    <w:rsid w:val="00A16B8B"/>
    <w:rsid w:val="00AC0AD5"/>
    <w:rsid w:val="00B44171"/>
    <w:rsid w:val="00B5219F"/>
    <w:rsid w:val="00BA5507"/>
    <w:rsid w:val="00BE7B21"/>
    <w:rsid w:val="00C2353C"/>
    <w:rsid w:val="00CB55D1"/>
    <w:rsid w:val="00CF322E"/>
    <w:rsid w:val="00D55216"/>
    <w:rsid w:val="00DB09AA"/>
    <w:rsid w:val="00E21BC5"/>
    <w:rsid w:val="00EB760F"/>
    <w:rsid w:val="00EE026D"/>
    <w:rsid w:val="00EF5B9E"/>
    <w:rsid w:val="00F00CE6"/>
    <w:rsid w:val="00F35D52"/>
    <w:rsid w:val="00F556C6"/>
    <w:rsid w:val="00F5639B"/>
    <w:rsid w:val="00F80DEB"/>
    <w:rsid w:val="00FC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9D60A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560" w:lineRule="atLeast"/>
      <w:jc w:val="both"/>
      <w:textAlignment w:val="baseline"/>
    </w:pPr>
    <w:rPr>
      <w:rFonts w:ascii="Mincho" w:eastAsia="Mincho"/>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table" w:styleId="a4">
    <w:name w:val="Table Grid"/>
    <w:basedOn w:val="a1"/>
    <w:pPr>
      <w:widowControl w:val="0"/>
      <w:adjustRightInd w:val="0"/>
      <w:spacing w:line="5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pPr>
      <w:spacing w:line="240" w:lineRule="auto"/>
      <w:ind w:left="480" w:hanging="480"/>
    </w:pPr>
    <w:rPr>
      <w:rFonts w:ascii="ＭＳ 明朝" w:eastAsia="ＭＳ 明朝"/>
      <w:sz w:val="24"/>
    </w:rPr>
  </w:style>
  <w:style w:type="paragraph" w:styleId="2">
    <w:name w:val="Body Text Indent 2"/>
    <w:basedOn w:val="a"/>
    <w:pPr>
      <w:spacing w:line="240" w:lineRule="auto"/>
      <w:ind w:left="360" w:hanging="360"/>
    </w:pPr>
    <w:rPr>
      <w:rFonts w:ascii="ＭＳ 明朝" w:eastAsia="ＭＳ 明朝"/>
      <w:sz w:val="24"/>
    </w:rPr>
  </w:style>
  <w:style w:type="paragraph" w:styleId="3">
    <w:name w:val="Body Text Indent 3"/>
    <w:basedOn w:val="a"/>
    <w:pPr>
      <w:spacing w:line="240" w:lineRule="auto"/>
      <w:ind w:left="240" w:hanging="240"/>
    </w:pPr>
    <w:rPr>
      <w:rFonts w:ascii="ＭＳ 明朝" w:eastAsia="ＭＳ 明朝"/>
      <w:sz w:val="24"/>
    </w:rPr>
  </w:style>
  <w:style w:type="paragraph" w:styleId="a6">
    <w:name w:val="Plain Text"/>
    <w:basedOn w:val="a"/>
    <w:pPr>
      <w:adjustRightInd/>
      <w:spacing w:line="240" w:lineRule="auto"/>
      <w:textAlignment w:val="auto"/>
    </w:pPr>
    <w:rPr>
      <w:rFonts w:ascii="ＭＳ 明朝" w:eastAsia="ＭＳ 明朝" w:hAnsi="Courier New"/>
      <w:kern w:val="2"/>
      <w:sz w:val="21"/>
    </w:rPr>
  </w:style>
  <w:style w:type="paragraph" w:styleId="a7">
    <w:name w:val="Block Text"/>
    <w:basedOn w:val="a"/>
    <w:pPr>
      <w:adjustRightInd/>
      <w:spacing w:line="420" w:lineRule="exact"/>
      <w:ind w:left="1320" w:right="1697"/>
      <w:textAlignment w:val="auto"/>
    </w:pPr>
    <w:rPr>
      <w:rFonts w:ascii="Century" w:eastAsia="ＭＳ 明朝"/>
      <w:kern w:val="2"/>
      <w:sz w:val="24"/>
    </w:rPr>
  </w:style>
  <w:style w:type="paragraph" w:styleId="a8">
    <w:name w:val="Balloon Text"/>
    <w:basedOn w:val="a"/>
    <w:semiHidden/>
    <w:rPr>
      <w:rFonts w:ascii="Arial" w:eastAsia="ＭＳ ゴシック" w:hAnsi="Arial"/>
      <w:sz w:val="18"/>
      <w:szCs w:val="18"/>
    </w:rPr>
  </w:style>
  <w:style w:type="paragraph" w:styleId="a9">
    <w:name w:val="header"/>
    <w:basedOn w:val="a"/>
    <w:rsid w:val="00151045"/>
    <w:pPr>
      <w:tabs>
        <w:tab w:val="center" w:pos="4252"/>
        <w:tab w:val="right" w:pos="8504"/>
      </w:tabs>
      <w:snapToGrid w:val="0"/>
    </w:pPr>
  </w:style>
  <w:style w:type="character" w:styleId="aa">
    <w:name w:val="page number"/>
    <w:basedOn w:val="a0"/>
    <w:rsid w:val="0015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2022-08-09T01:50:00Z</dcterms:created>
  <dcterms:modified xsi:type="dcterms:W3CDTF">2022-10-14T05:31:00Z</dcterms:modified>
</cp:coreProperties>
</file>