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97" w:rsidRPr="005055CE" w:rsidRDefault="00711797" w:rsidP="005055CE">
      <w:pPr>
        <w:pStyle w:val="a5"/>
        <w:spacing w:line="400" w:lineRule="exact"/>
        <w:ind w:leftChars="450" w:left="945" w:rightChars="450" w:right="945"/>
        <w:jc w:val="left"/>
        <w:rPr>
          <w:rFonts w:ascii="ＭＳ ゴシック" w:eastAsia="ＭＳ ゴシック" w:hAnsi="ＭＳ ゴシック"/>
          <w:sz w:val="28"/>
          <w:szCs w:val="28"/>
        </w:rPr>
      </w:pPr>
      <w:bookmarkStart w:id="0" w:name="_GoBack"/>
      <w:bookmarkEnd w:id="0"/>
      <w:r w:rsidRPr="005055CE">
        <w:rPr>
          <w:rFonts w:ascii="ＭＳ ゴシック" w:eastAsia="ＭＳ ゴシック" w:hAnsi="ＭＳ ゴシック" w:hint="eastAsia"/>
          <w:sz w:val="28"/>
          <w:szCs w:val="28"/>
        </w:rPr>
        <w:t>日本銀行金融ネットワークシステムを利用して行う</w:t>
      </w:r>
    </w:p>
    <w:p w:rsidR="00711797" w:rsidRDefault="00711797" w:rsidP="005055CE">
      <w:pPr>
        <w:pStyle w:val="a5"/>
        <w:spacing w:line="400" w:lineRule="exact"/>
        <w:ind w:leftChars="450" w:left="945" w:rightChars="450" w:right="94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当座勘定払戻関係事務</w:t>
      </w:r>
      <w:r w:rsidR="008E18F1" w:rsidRPr="005055CE">
        <w:rPr>
          <w:rFonts w:ascii="ＭＳ ゴシック" w:eastAsia="ＭＳ ゴシック" w:hAnsi="ＭＳ ゴシック" w:hint="eastAsia"/>
          <w:sz w:val="28"/>
          <w:szCs w:val="28"/>
        </w:rPr>
        <w:t>（市中流通拠点）に関する特則</w:t>
      </w:r>
    </w:p>
    <w:p w:rsidR="00711797" w:rsidRDefault="00711797">
      <w:pPr>
        <w:pStyle w:val="a5"/>
        <w:spacing w:line="400" w:lineRule="exact"/>
        <w:ind w:leftChars="0" w:left="0"/>
        <w:rPr>
          <w:rFonts w:ascii="ＭＳ 明朝" w:hAnsi="ＭＳ 明朝"/>
          <w:sz w:val="24"/>
          <w:szCs w:val="24"/>
        </w:rPr>
      </w:pPr>
    </w:p>
    <w:p w:rsidR="00711797" w:rsidRDefault="00711797">
      <w:pPr>
        <w:pStyle w:val="a5"/>
        <w:spacing w:line="400" w:lineRule="exact"/>
        <w:ind w:leftChars="0" w:left="0"/>
        <w:rPr>
          <w:rFonts w:ascii="ＭＳ 明朝" w:hAnsi="ＭＳ 明朝"/>
          <w:sz w:val="24"/>
          <w:szCs w:val="24"/>
        </w:rPr>
      </w:pPr>
      <w:r>
        <w:rPr>
          <w:rFonts w:ascii="ＭＳ 明朝" w:hAnsi="ＭＳ 明朝" w:hint="eastAsia"/>
          <w:sz w:val="24"/>
          <w:szCs w:val="24"/>
        </w:rPr>
        <w:t>（趣旨）</w:t>
      </w:r>
    </w:p>
    <w:p w:rsidR="00711797" w:rsidRDefault="00711797">
      <w:pPr>
        <w:pStyle w:val="a5"/>
        <w:spacing w:line="400" w:lineRule="exact"/>
        <w:ind w:leftChars="0" w:left="240" w:hangingChars="100" w:hanging="240"/>
        <w:rPr>
          <w:rFonts w:ascii="ＭＳ 明朝" w:hAnsi="ＭＳ 明朝"/>
          <w:sz w:val="24"/>
          <w:szCs w:val="24"/>
        </w:rPr>
      </w:pPr>
      <w:r>
        <w:rPr>
          <w:rFonts w:ascii="ＭＳ 明朝" w:hAnsi="ＭＳ 明朝" w:hint="eastAsia"/>
          <w:sz w:val="24"/>
          <w:szCs w:val="24"/>
        </w:rPr>
        <w:t>第１条　この規則は、日本銀行金融ネットワークシステム（以下「日銀ネット」という。）を利用して行う、</w:t>
      </w:r>
      <w:r>
        <w:rPr>
          <w:rFonts w:hint="eastAsia"/>
          <w:sz w:val="24"/>
          <w:szCs w:val="24"/>
        </w:rPr>
        <w:t>市中流通拠点（市中流通拠点における貨幣の受払要綱３．の市中流通拠点をいう。以下同じ。）における</w:t>
      </w:r>
      <w:r>
        <w:rPr>
          <w:rFonts w:ascii="ＭＳ 明朝" w:hAnsi="ＭＳ 明朝" w:hint="eastAsia"/>
          <w:sz w:val="24"/>
          <w:szCs w:val="24"/>
        </w:rPr>
        <w:t>当座勘定の払戻にかかる事務（以下「当座勘定払戻関係事務（市中流通拠点）」という。）について、同一の取引金融機関において当座勘定の払戻を受ける取引先と当該払戻の請求を行う取引先が異なる場合の当座勘定規定、当座勘定取引についての日本銀行金融ネットワークシステムの利用に関する規則（以下「当座勘定特則」という。）および日本銀行金融ネットワークシステムを利用して行う当座勘定払戻関係事務（市中流通拠点）に関する規則の特則を定めるものとす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（定義）</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第２条　この規則において使用する用語は、当座勘定規定において使用する用語の例によるほか、次の各号に掲げる用語の定義は、当該各号に定めるところによる。</w:t>
      </w:r>
    </w:p>
    <w:p w:rsidR="00711797" w:rsidRDefault="00711797">
      <w:pPr>
        <w:spacing w:line="400" w:lineRule="exact"/>
        <w:ind w:left="364" w:hanging="364"/>
        <w:rPr>
          <w:rFonts w:ascii="ＭＳ 明朝" w:hAnsi="ＭＳ 明朝"/>
          <w:sz w:val="24"/>
          <w:szCs w:val="24"/>
        </w:rPr>
      </w:pPr>
      <w:r>
        <w:rPr>
          <w:rFonts w:ascii="ＭＳ 明朝" w:hAnsi="ＭＳ 明朝" w:hint="eastAsia"/>
          <w:sz w:val="24"/>
          <w:szCs w:val="24"/>
        </w:rPr>
        <w:t>（１）当座勘定払戻先</w:t>
      </w:r>
    </w:p>
    <w:p w:rsidR="00711797" w:rsidRDefault="00711797">
      <w:pPr>
        <w:spacing w:line="400" w:lineRule="exact"/>
        <w:ind w:leftChars="200" w:left="420" w:firstLineChars="100" w:firstLine="240"/>
        <w:rPr>
          <w:rFonts w:ascii="ＭＳ 明朝" w:hAnsi="ＭＳ 明朝"/>
          <w:sz w:val="24"/>
          <w:szCs w:val="24"/>
        </w:rPr>
      </w:pPr>
      <w:r>
        <w:rPr>
          <w:rFonts w:hint="eastAsia"/>
          <w:sz w:val="24"/>
        </w:rPr>
        <w:t>市中流通拠点における貨幣の受払要綱３．の</w:t>
      </w:r>
      <w:r>
        <w:rPr>
          <w:rFonts w:hint="eastAsia"/>
          <w:sz w:val="24"/>
          <w:szCs w:val="24"/>
        </w:rPr>
        <w:t>利用先として日本銀行から承認を受けた先であって、自己の当座勘定の払戻を市中流通拠点において受ける</w:t>
      </w:r>
      <w:r>
        <w:rPr>
          <w:rFonts w:ascii="ＭＳ 明朝" w:hAnsi="ＭＳ 明朝" w:hint="eastAsia"/>
          <w:sz w:val="24"/>
          <w:szCs w:val="24"/>
        </w:rPr>
        <w:t>取引先をいう。</w:t>
      </w:r>
    </w:p>
    <w:p w:rsidR="00711797" w:rsidRDefault="00711797">
      <w:pPr>
        <w:spacing w:line="400" w:lineRule="exact"/>
        <w:ind w:left="364" w:hanging="364"/>
        <w:rPr>
          <w:rFonts w:ascii="ＭＳ 明朝" w:hAnsi="ＭＳ 明朝"/>
          <w:sz w:val="24"/>
          <w:szCs w:val="24"/>
        </w:rPr>
      </w:pPr>
      <w:r>
        <w:rPr>
          <w:rFonts w:ascii="ＭＳ 明朝" w:hAnsi="ＭＳ 明朝" w:hint="eastAsia"/>
          <w:sz w:val="24"/>
          <w:szCs w:val="24"/>
        </w:rPr>
        <w:t>（２）払戻請求入力先</w:t>
      </w:r>
    </w:p>
    <w:p w:rsidR="00711797" w:rsidRDefault="00711797">
      <w:pPr>
        <w:spacing w:line="400" w:lineRule="exact"/>
        <w:ind w:leftChars="200" w:left="420" w:firstLineChars="100" w:firstLine="240"/>
        <w:rPr>
          <w:rFonts w:ascii="ＭＳ 明朝" w:hAnsi="ＭＳ 明朝"/>
          <w:sz w:val="24"/>
          <w:szCs w:val="24"/>
        </w:rPr>
      </w:pPr>
      <w:r>
        <w:rPr>
          <w:rFonts w:ascii="ＭＳ 明朝" w:hAnsi="ＭＳ 明朝" w:hint="eastAsia"/>
          <w:sz w:val="24"/>
          <w:szCs w:val="24"/>
        </w:rPr>
        <w:t>当座勘定の払戻の請求を日銀ネットにより行う取引先をいう。</w:t>
      </w:r>
    </w:p>
    <w:p w:rsidR="00711797" w:rsidRDefault="00711797">
      <w:pPr>
        <w:pStyle w:val="a5"/>
        <w:spacing w:line="400" w:lineRule="exact"/>
        <w:ind w:leftChars="0" w:left="0"/>
        <w:rPr>
          <w:rFonts w:ascii="ＭＳ 明朝" w:hAnsi="ＭＳ 明朝"/>
          <w:sz w:val="24"/>
          <w:szCs w:val="24"/>
        </w:rPr>
      </w:pPr>
      <w:r>
        <w:rPr>
          <w:rFonts w:ascii="ＭＳ 明朝" w:hAnsi="ＭＳ 明朝" w:hint="eastAsia"/>
          <w:sz w:val="24"/>
          <w:szCs w:val="24"/>
        </w:rPr>
        <w:t>（払戻請求方法）</w:t>
      </w:r>
    </w:p>
    <w:p w:rsidR="00711797" w:rsidRDefault="00711797">
      <w:pPr>
        <w:pStyle w:val="a5"/>
        <w:spacing w:line="400" w:lineRule="exact"/>
        <w:ind w:leftChars="0" w:left="240" w:hangingChars="100" w:hanging="240"/>
        <w:rPr>
          <w:rFonts w:ascii="ＭＳ 明朝" w:hAnsi="ＭＳ 明朝"/>
          <w:sz w:val="24"/>
          <w:szCs w:val="24"/>
        </w:rPr>
      </w:pPr>
      <w:r>
        <w:rPr>
          <w:rFonts w:ascii="ＭＳ 明朝" w:hAnsi="ＭＳ 明朝" w:hint="eastAsia"/>
          <w:sz w:val="24"/>
          <w:szCs w:val="24"/>
        </w:rPr>
        <w:t>第３条　当座勘定払戻先（日本銀行との間で日銀ネットを利用して当座勘定取引を行う先（以下「オンライン取引先」という。）に限る。）は、</w:t>
      </w:r>
      <w:r>
        <w:rPr>
          <w:rFonts w:hint="eastAsia"/>
          <w:sz w:val="24"/>
        </w:rPr>
        <w:t>自己の当座勘定の払戻を市中流通拠点において受ける場合には、</w:t>
      </w:r>
      <w:r>
        <w:rPr>
          <w:rFonts w:ascii="ＭＳ 明朝" w:hAnsi="ＭＳ 明朝" w:hint="eastAsia"/>
          <w:sz w:val="24"/>
          <w:szCs w:val="24"/>
        </w:rPr>
        <w:t>同一の取引金融機関に属する他の払戻請求入力先に、自己に代わって、日本銀行に自己の当座勘定の払戻の請求を行わせることができる。</w:t>
      </w:r>
    </w:p>
    <w:p w:rsidR="00711797" w:rsidRDefault="00711797">
      <w:pPr>
        <w:pStyle w:val="a5"/>
        <w:spacing w:line="400" w:lineRule="exact"/>
        <w:ind w:leftChars="0" w:left="240" w:hangingChars="100" w:hanging="240"/>
        <w:rPr>
          <w:rFonts w:ascii="ＭＳ 明朝" w:hAnsi="ＭＳ 明朝"/>
          <w:sz w:val="24"/>
          <w:szCs w:val="24"/>
        </w:rPr>
      </w:pPr>
      <w:r>
        <w:rPr>
          <w:rFonts w:ascii="ＭＳ 明朝" w:hAnsi="ＭＳ 明朝" w:hint="eastAsia"/>
          <w:sz w:val="24"/>
          <w:szCs w:val="24"/>
        </w:rPr>
        <w:t>２．当座勘定払戻先（オンライン取引先でない先に限る。）は、</w:t>
      </w:r>
      <w:r>
        <w:rPr>
          <w:rFonts w:hint="eastAsia"/>
          <w:sz w:val="24"/>
        </w:rPr>
        <w:t>自己の当座勘定の払戻を市中流通拠点において受ける場合には、</w:t>
      </w:r>
      <w:r>
        <w:rPr>
          <w:rFonts w:ascii="ＭＳ 明朝" w:hAnsi="ＭＳ 明朝" w:hint="eastAsia"/>
          <w:sz w:val="24"/>
          <w:szCs w:val="24"/>
        </w:rPr>
        <w:t>同一の取引金融機関に属す</w:t>
      </w:r>
      <w:r>
        <w:rPr>
          <w:rFonts w:ascii="ＭＳ 明朝" w:hAnsi="ＭＳ 明朝" w:hint="eastAsia"/>
          <w:sz w:val="24"/>
          <w:szCs w:val="24"/>
        </w:rPr>
        <w:lastRenderedPageBreak/>
        <w:t>る他の払戻請求入力先に、自己に代わって、日本銀行に自己の当座勘定の払戻の請求を行わせるものとする。</w:t>
      </w:r>
    </w:p>
    <w:p w:rsidR="00711797" w:rsidRDefault="00711797">
      <w:pPr>
        <w:spacing w:line="400" w:lineRule="exact"/>
        <w:ind w:left="240" w:hangingChars="100" w:hanging="240"/>
        <w:rPr>
          <w:rFonts w:ascii="ＭＳ 明朝" w:hAnsi="ＭＳ 明朝"/>
          <w:sz w:val="24"/>
          <w:szCs w:val="24"/>
        </w:rPr>
      </w:pPr>
      <w:r>
        <w:rPr>
          <w:rFonts w:ascii="ＭＳ 明朝" w:hAnsi="ＭＳ 明朝" w:hint="eastAsia"/>
          <w:sz w:val="24"/>
          <w:szCs w:val="24"/>
        </w:rPr>
        <w:t>３．払戻請求入力先は、第１項または前項に規定する払戻の請求を行う場合には、日銀ネットを利用するものとする。</w:t>
      </w:r>
    </w:p>
    <w:p w:rsidR="00711797" w:rsidRDefault="00711797">
      <w:pPr>
        <w:pStyle w:val="a5"/>
        <w:spacing w:line="400" w:lineRule="exact"/>
        <w:ind w:leftChars="0" w:left="240" w:hangingChars="100" w:hanging="240"/>
        <w:rPr>
          <w:rFonts w:ascii="ＭＳ 明朝" w:hAnsi="ＭＳ 明朝"/>
          <w:sz w:val="24"/>
          <w:szCs w:val="24"/>
        </w:rPr>
      </w:pPr>
      <w:r>
        <w:rPr>
          <w:rFonts w:ascii="ＭＳ 明朝" w:hAnsi="ＭＳ 明朝" w:hint="eastAsia"/>
          <w:sz w:val="24"/>
          <w:szCs w:val="24"/>
        </w:rPr>
        <w:t>４．当座勘定払戻先は、第１項または第２項に規定する払戻の請求にかかる当座勘定の払戻を受ける場合には、小切手を使用しないものとする。</w:t>
      </w:r>
    </w:p>
    <w:p w:rsidR="00711797" w:rsidRDefault="00711797">
      <w:pPr>
        <w:pStyle w:val="a5"/>
        <w:spacing w:line="400" w:lineRule="exact"/>
        <w:ind w:leftChars="0" w:left="240" w:hangingChars="100" w:hanging="240"/>
        <w:rPr>
          <w:rFonts w:ascii="ＭＳ 明朝" w:hAnsi="ＭＳ 明朝"/>
          <w:sz w:val="24"/>
          <w:szCs w:val="24"/>
        </w:rPr>
      </w:pPr>
      <w:r>
        <w:rPr>
          <w:rFonts w:ascii="ＭＳ 明朝" w:hAnsi="ＭＳ 明朝" w:hint="eastAsia"/>
          <w:sz w:val="24"/>
          <w:szCs w:val="24"/>
        </w:rPr>
        <w:t>５．払戻請求入力先は、第１項または第２項に規定する払戻の請求を行う場合には、当座勘定払戻先が</w:t>
      </w:r>
      <w:r>
        <w:rPr>
          <w:rFonts w:hint="eastAsia"/>
          <w:sz w:val="24"/>
        </w:rPr>
        <w:t>払戻を受ける日の前営業日に、</w:t>
      </w:r>
      <w:r>
        <w:rPr>
          <w:rFonts w:ascii="ＭＳ 明朝" w:hAnsi="ＭＳ 明朝" w:hint="eastAsia"/>
          <w:sz w:val="24"/>
          <w:szCs w:val="24"/>
        </w:rPr>
        <w:t>日銀ネットにより次の各号に掲げる事項を日本銀行に通知する。</w:t>
      </w:r>
    </w:p>
    <w:p w:rsidR="00711797" w:rsidRDefault="00711797">
      <w:pPr>
        <w:spacing w:line="400" w:lineRule="exact"/>
        <w:ind w:left="240" w:hangingChars="100" w:hanging="240"/>
        <w:rPr>
          <w:rFonts w:ascii="ＭＳ 明朝" w:hAnsi="ＭＳ 明朝"/>
          <w:sz w:val="24"/>
          <w:szCs w:val="24"/>
        </w:rPr>
      </w:pPr>
      <w:r>
        <w:rPr>
          <w:rFonts w:ascii="ＭＳ 明朝" w:hAnsi="ＭＳ 明朝" w:hint="eastAsia"/>
          <w:sz w:val="24"/>
          <w:szCs w:val="24"/>
        </w:rPr>
        <w:t>（１）取引実行日</w:t>
      </w:r>
    </w:p>
    <w:p w:rsidR="00711797" w:rsidRDefault="00711797">
      <w:pPr>
        <w:spacing w:line="400" w:lineRule="exact"/>
        <w:rPr>
          <w:rFonts w:ascii="ＭＳ 明朝" w:hAnsi="ＭＳ 明朝"/>
          <w:sz w:val="24"/>
          <w:szCs w:val="24"/>
        </w:rPr>
      </w:pPr>
      <w:r>
        <w:rPr>
          <w:rFonts w:ascii="ＭＳ 明朝" w:hAnsi="ＭＳ 明朝" w:hint="eastAsia"/>
          <w:sz w:val="24"/>
          <w:szCs w:val="24"/>
        </w:rPr>
        <w:t>（２）払戻金額</w:t>
      </w:r>
    </w:p>
    <w:p w:rsidR="00711797" w:rsidRDefault="00711797">
      <w:pPr>
        <w:spacing w:line="400" w:lineRule="exact"/>
        <w:ind w:left="480" w:hangingChars="200" w:hanging="480"/>
        <w:rPr>
          <w:rFonts w:ascii="ＭＳ 明朝" w:hAnsi="ＭＳ 明朝"/>
          <w:sz w:val="24"/>
          <w:szCs w:val="24"/>
        </w:rPr>
      </w:pPr>
      <w:r>
        <w:rPr>
          <w:rFonts w:ascii="ＭＳ 明朝" w:hAnsi="ＭＳ 明朝" w:hint="eastAsia"/>
          <w:sz w:val="24"/>
          <w:szCs w:val="24"/>
        </w:rPr>
        <w:t>（３）当座勘定払戻先の名称</w:t>
      </w:r>
    </w:p>
    <w:p w:rsidR="00711797" w:rsidRDefault="00711797">
      <w:pPr>
        <w:spacing w:line="400" w:lineRule="exact"/>
        <w:ind w:left="480" w:hangingChars="200" w:hanging="480"/>
        <w:rPr>
          <w:rFonts w:ascii="ＭＳ 明朝" w:hAnsi="ＭＳ 明朝"/>
          <w:sz w:val="24"/>
          <w:szCs w:val="24"/>
        </w:rPr>
      </w:pPr>
      <w:r>
        <w:rPr>
          <w:rFonts w:ascii="ＭＳ 明朝" w:hAnsi="ＭＳ 明朝" w:hint="eastAsia"/>
          <w:sz w:val="24"/>
          <w:szCs w:val="24"/>
        </w:rPr>
        <w:t>（４）</w:t>
      </w:r>
      <w:r>
        <w:rPr>
          <w:rFonts w:hint="eastAsia"/>
          <w:sz w:val="24"/>
          <w:szCs w:val="24"/>
        </w:rPr>
        <w:t>その他日本銀行が定める事項</w:t>
      </w:r>
    </w:p>
    <w:p w:rsidR="00711797" w:rsidRDefault="00711797">
      <w:pPr>
        <w:spacing w:line="400" w:lineRule="exact"/>
        <w:ind w:left="238" w:hanging="238"/>
        <w:rPr>
          <w:rFonts w:ascii="ＭＳ 明朝" w:hAnsi="ＭＳ 明朝" w:hint="eastAsia"/>
          <w:sz w:val="24"/>
          <w:szCs w:val="24"/>
        </w:rPr>
      </w:pPr>
      <w:r>
        <w:rPr>
          <w:rFonts w:ascii="ＭＳ 明朝" w:hAnsi="ＭＳ 明朝" w:hint="eastAsia"/>
          <w:sz w:val="24"/>
          <w:szCs w:val="24"/>
        </w:rPr>
        <w:t>６．払戻請求入力先は、日本銀行が別に定める時刻までは、第１項または第２項に規定する払戻の請求を日銀ネットを利用して取消すことができる。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７．払戻請求入力先は、第１項もしくは第２項に規定する払戻の請求または前項に規定する払戻の請求の取消のための日銀ネットにおける入力後、遅滞なく、当座勘定払戻先に対し、当該入力を行った旨を連絡するものとする。</w:t>
      </w:r>
    </w:p>
    <w:p w:rsidR="00711797" w:rsidRDefault="00711797">
      <w:pPr>
        <w:spacing w:line="400" w:lineRule="exact"/>
        <w:ind w:left="240" w:hangingChars="100" w:hanging="240"/>
        <w:rPr>
          <w:rFonts w:ascii="ＭＳ 明朝" w:hAnsi="ＭＳ 明朝"/>
          <w:sz w:val="24"/>
          <w:szCs w:val="24"/>
        </w:rPr>
      </w:pPr>
      <w:r>
        <w:rPr>
          <w:rFonts w:ascii="ＭＳ 明朝" w:hAnsi="ＭＳ 明朝" w:hint="eastAsia"/>
          <w:sz w:val="24"/>
          <w:szCs w:val="24"/>
        </w:rPr>
        <w:t>（払戻を行う時期）</w:t>
      </w:r>
    </w:p>
    <w:p w:rsidR="00711797" w:rsidRDefault="00711797">
      <w:pPr>
        <w:spacing w:line="400" w:lineRule="exact"/>
        <w:ind w:left="240" w:hangingChars="100" w:hanging="240"/>
        <w:rPr>
          <w:rFonts w:ascii="ＭＳ 明朝" w:hAnsi="ＭＳ 明朝"/>
          <w:sz w:val="24"/>
          <w:szCs w:val="24"/>
        </w:rPr>
      </w:pPr>
      <w:r>
        <w:rPr>
          <w:rFonts w:ascii="ＭＳ 明朝" w:hAnsi="ＭＳ 明朝" w:hint="eastAsia"/>
          <w:sz w:val="24"/>
          <w:szCs w:val="24"/>
        </w:rPr>
        <w:t>第４条　当座勘定払戻先は、払戻請求入力先に前条に規定する払戻の請求を行わせた場合には、日本銀行が別に定める時刻までに、市中流通拠点において、自己の当座勘定の払戻を受ける。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（事務処理の通知）</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第５条　日本銀行は、第３条に規定する払戻の請求にかかる当座勘定払戻先の当座勘定の引落を行った場合には、当該引落にかかる払戻請求入力先および当座勘定払戻先（オンライン取引先に限る。ただし、日本銀行の当座預金取引の相手方に関する選定基準（取引の拠点にかかる基準）１．（１）ロ．に定める施設を取引拠点（同基準１．（１）の取引拠点をいう。）として行う自己の当座勘定の払戻を市中流通拠点において受けるオンライン取引先を除く。）に対し、日銀ネットによりその旨を通知す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２．前項の規定による通知を受けた払戻請求入力先および当座勘定払戻先は、当該通知の内容について異議のある場合には、直ちに日本銀行にその旨を連絡するものとする。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（照会）</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第６条　払戻請求入力先は、第３条に規定する払戻の請求にかかる事項で日本銀行が別に定めるものについては、日銀ネットを利用して照会することができる。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（日銀ネット障害時等の取扱い）</w:t>
      </w:r>
    </w:p>
    <w:p w:rsidR="00711797" w:rsidRDefault="00711797">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第７条　日本銀行は、日銀ネットの障害等によりこの規則の規定による取扱いができないと認めた場合には、この規則の規定と異なる取扱いをし、または日本銀行との間で当座勘定取引についての日本銀行金融ネットワークシステムの利用に関する特約を結んだ者（以下「特約先」という。）にこの規則の規定と異なる取扱いを指示することができ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（所要事項の決定等）</w:t>
      </w:r>
    </w:p>
    <w:p w:rsidR="00711797" w:rsidRDefault="00711797">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第８条　日本銀行は、</w:t>
      </w:r>
      <w:r>
        <w:rPr>
          <w:rFonts w:hint="eastAsia"/>
          <w:sz w:val="24"/>
          <w:szCs w:val="24"/>
        </w:rPr>
        <w:t>日銀ネットを利用して行う</w:t>
      </w:r>
      <w:r>
        <w:rPr>
          <w:rFonts w:ascii="ＭＳ 明朝" w:hAnsi="ＭＳ 明朝" w:hint="eastAsia"/>
          <w:sz w:val="24"/>
          <w:szCs w:val="24"/>
        </w:rPr>
        <w:t>当座勘定払戻関係事務（市中流通拠点）の適切な運用を確保するため、この規則に定めるもののほか、所要の事項を定め、または所要の措置を講じることができる。</w:t>
      </w:r>
    </w:p>
    <w:p w:rsidR="00711797" w:rsidRDefault="00711797">
      <w:pPr>
        <w:autoSpaceDE w:val="0"/>
        <w:autoSpaceDN w:val="0"/>
        <w:spacing w:line="440" w:lineRule="exact"/>
        <w:rPr>
          <w:rFonts w:ascii="ＭＳ 明朝" w:hAnsi="ＭＳ 明朝"/>
          <w:sz w:val="24"/>
          <w:szCs w:val="24"/>
        </w:rPr>
      </w:pPr>
      <w:r>
        <w:rPr>
          <w:rFonts w:ascii="ＭＳ 明朝" w:hAnsi="ＭＳ 明朝" w:hint="eastAsia"/>
          <w:sz w:val="24"/>
          <w:szCs w:val="24"/>
        </w:rPr>
        <w:t>（利用制限）</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第９条　日本銀行は、当座勘定特則第１２条第２項の規定により、</w:t>
      </w:r>
      <w:r>
        <w:rPr>
          <w:rFonts w:hint="eastAsia"/>
          <w:sz w:val="24"/>
          <w:szCs w:val="24"/>
        </w:rPr>
        <w:t>特約先による当座勘定特則第２条の２に規定する払戻の請求のための日銀ネットの利用を一定期間制限する場合、または日本銀行金融ネットワークシステムを利用して行う当座勘定払戻事務に関する規則第１２条第１項の規定により、特約先による同規則第３条に規定する払戻の請求のための日銀ネットの利用を一定期間制限する場合には、当該特約先による</w:t>
      </w:r>
      <w:r>
        <w:rPr>
          <w:rFonts w:ascii="ＭＳ 明朝" w:hAnsi="ＭＳ 明朝" w:hint="eastAsia"/>
          <w:sz w:val="24"/>
          <w:szCs w:val="24"/>
        </w:rPr>
        <w:t>第３条に規定する払戻の請求のための日銀ネットの利用を一定期間制限することができる。</w:t>
      </w:r>
    </w:p>
    <w:p w:rsidR="00711797" w:rsidRDefault="00711797">
      <w:pPr>
        <w:spacing w:line="400" w:lineRule="exact"/>
        <w:ind w:left="238" w:hanging="238"/>
        <w:rPr>
          <w:rFonts w:ascii="ＭＳ 明朝" w:hAnsi="ＭＳ 明朝"/>
          <w:sz w:val="24"/>
          <w:szCs w:val="24"/>
        </w:rPr>
      </w:pPr>
      <w:r>
        <w:rPr>
          <w:rFonts w:ascii="ＭＳ 明朝" w:hAnsi="ＭＳ 明朝" w:hint="eastAsia"/>
          <w:sz w:val="24"/>
          <w:szCs w:val="24"/>
        </w:rPr>
        <w:t>（規則の改正）</w:t>
      </w:r>
    </w:p>
    <w:p w:rsidR="00711797" w:rsidRDefault="00711797">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第１０条　日本銀行は、</w:t>
      </w:r>
      <w:r>
        <w:rPr>
          <w:rFonts w:hint="eastAsia"/>
          <w:sz w:val="24"/>
          <w:szCs w:val="24"/>
        </w:rPr>
        <w:t>日銀ネットを利用して行う</w:t>
      </w:r>
      <w:r>
        <w:rPr>
          <w:rFonts w:ascii="ＭＳ 明朝" w:hAnsi="ＭＳ 明朝" w:hint="eastAsia"/>
          <w:sz w:val="24"/>
          <w:szCs w:val="24"/>
        </w:rPr>
        <w:t>当座勘定払戻関係事務（市中流通拠点）の適切な運用を確保するため、必要ある場合は、この規則を改正することができる。</w:t>
      </w:r>
    </w:p>
    <w:p w:rsidR="00711797" w:rsidRDefault="00711797" w:rsidP="00236645">
      <w:pPr>
        <w:pStyle w:val="a5"/>
        <w:spacing w:line="400" w:lineRule="exact"/>
        <w:ind w:leftChars="0" w:left="0" w:right="840"/>
        <w:rPr>
          <w:rFonts w:ascii="ＭＳ 明朝" w:hAnsi="ＭＳ 明朝" w:hint="eastAsia"/>
          <w:sz w:val="24"/>
          <w:szCs w:val="24"/>
        </w:rPr>
      </w:pPr>
    </w:p>
    <w:p w:rsidR="00711797" w:rsidRDefault="00711797">
      <w:pPr>
        <w:pStyle w:val="a5"/>
        <w:spacing w:line="400" w:lineRule="exact"/>
        <w:ind w:leftChars="0" w:left="0"/>
        <w:rPr>
          <w:rFonts w:ascii="ＭＳ 明朝" w:hAnsi="ＭＳ 明朝"/>
          <w:sz w:val="20"/>
        </w:rPr>
      </w:pPr>
    </w:p>
    <w:sectPr w:rsidR="0071179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E6" w:rsidRDefault="00721BE6">
      <w:r>
        <w:separator/>
      </w:r>
    </w:p>
  </w:endnote>
  <w:endnote w:type="continuationSeparator" w:id="0">
    <w:p w:rsidR="00721BE6" w:rsidRDefault="007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38" w:rsidRDefault="00DE18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40" w:rsidRPr="005055CE" w:rsidRDefault="00892B40">
    <w:pPr>
      <w:pStyle w:val="a3"/>
      <w:jc w:val="center"/>
      <w:rPr>
        <w:rFonts w:ascii="ＭＳ 明朝" w:hAnsi="ＭＳ 明朝"/>
        <w:sz w:val="20"/>
        <w:szCs w:val="20"/>
      </w:rPr>
    </w:pPr>
    <w:r w:rsidRPr="005055CE">
      <w:rPr>
        <w:rFonts w:ascii="ＭＳ 明朝" w:hAnsi="ＭＳ 明朝"/>
        <w:sz w:val="20"/>
        <w:szCs w:val="20"/>
      </w:rPr>
      <w:fldChar w:fldCharType="begin"/>
    </w:r>
    <w:r w:rsidRPr="005055CE">
      <w:rPr>
        <w:rFonts w:ascii="ＭＳ 明朝" w:hAnsi="ＭＳ 明朝"/>
        <w:sz w:val="20"/>
        <w:szCs w:val="20"/>
      </w:rPr>
      <w:instrText xml:space="preserve"> PAGE   \* MERGEFORMAT </w:instrText>
    </w:r>
    <w:r w:rsidRPr="005055CE">
      <w:rPr>
        <w:rFonts w:ascii="ＭＳ 明朝" w:hAnsi="ＭＳ 明朝"/>
        <w:sz w:val="20"/>
        <w:szCs w:val="20"/>
      </w:rPr>
      <w:fldChar w:fldCharType="separate"/>
    </w:r>
    <w:r w:rsidR="00DE1838">
      <w:rPr>
        <w:rFonts w:ascii="ＭＳ 明朝" w:hAnsi="ＭＳ 明朝"/>
        <w:noProof/>
        <w:sz w:val="20"/>
        <w:szCs w:val="20"/>
      </w:rPr>
      <w:t>1</w:t>
    </w:r>
    <w:r w:rsidRPr="005055CE">
      <w:rPr>
        <w:rFonts w:ascii="ＭＳ 明朝" w:hAnsi="ＭＳ 明朝"/>
        <w:sz w:val="20"/>
        <w:szCs w:val="20"/>
      </w:rPr>
      <w:fldChar w:fldCharType="end"/>
    </w:r>
  </w:p>
  <w:p w:rsidR="00892B40" w:rsidRDefault="00892B4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38" w:rsidRDefault="00DE18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E6" w:rsidRDefault="00721BE6">
      <w:r>
        <w:separator/>
      </w:r>
    </w:p>
  </w:footnote>
  <w:footnote w:type="continuationSeparator" w:id="0">
    <w:p w:rsidR="00721BE6" w:rsidRDefault="0072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38" w:rsidRDefault="00DE183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38" w:rsidRDefault="00DE183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38" w:rsidRDefault="00DE183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rawingGridVerticalSpacing w:val="2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4AF"/>
    <w:rsid w:val="00066DB0"/>
    <w:rsid w:val="001A15D2"/>
    <w:rsid w:val="001C4991"/>
    <w:rsid w:val="00236645"/>
    <w:rsid w:val="00236AED"/>
    <w:rsid w:val="003B4FDB"/>
    <w:rsid w:val="00447B10"/>
    <w:rsid w:val="004C4A91"/>
    <w:rsid w:val="005004AF"/>
    <w:rsid w:val="005055CE"/>
    <w:rsid w:val="00541EF4"/>
    <w:rsid w:val="00636532"/>
    <w:rsid w:val="00711797"/>
    <w:rsid w:val="00721BE6"/>
    <w:rsid w:val="007706FD"/>
    <w:rsid w:val="007A6275"/>
    <w:rsid w:val="007B140D"/>
    <w:rsid w:val="00892B40"/>
    <w:rsid w:val="008B7938"/>
    <w:rsid w:val="008E18F1"/>
    <w:rsid w:val="00920A83"/>
    <w:rsid w:val="009A02DA"/>
    <w:rsid w:val="00CD057D"/>
    <w:rsid w:val="00D801F1"/>
    <w:rsid w:val="00DE1838"/>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rPr>
      <w:rFonts w:ascii="Century" w:eastAsia="ＭＳ 明朝" w:hAnsi="Century" w:cs="Times New Roman"/>
    </w:rPr>
  </w:style>
  <w:style w:type="paragraph" w:styleId="a5">
    <w:name w:val="List Paragraph"/>
    <w:basedOn w:val="a"/>
    <w:uiPriority w:val="34"/>
    <w:qFormat/>
    <w:pPr>
      <w:ind w:leftChars="400" w:left="840"/>
    </w:pPr>
  </w:style>
  <w:style w:type="character" w:styleId="a6">
    <w:name w:val="page number"/>
    <w:basedOn w:val="a0"/>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unhideWhenUsed/>
    <w:pPr>
      <w:jc w:val="left"/>
    </w:pPr>
  </w:style>
  <w:style w:type="character" w:customStyle="1" w:styleId="a9">
    <w:name w:val="コメント文字列 (文字)"/>
    <w:basedOn w:val="a0"/>
    <w:link w:val="a8"/>
    <w:uiPriority w:val="99"/>
    <w:rPr>
      <w:rFonts w:ascii="Century" w:eastAsia="ＭＳ 明朝" w:hAnsi="Century" w:cs="Times New Roman"/>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rPr>
      <w:rFonts w:ascii="Arial" w:eastAsia="ＭＳ ゴシック" w:hAnsi="Arial" w:cs="Times New Roman"/>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rPr>
      <w:kern w:val="2"/>
      <w:sz w:val="21"/>
      <w:szCs w:val="22"/>
    </w:rPr>
  </w:style>
  <w:style w:type="paragraph" w:styleId="ae">
    <w:name w:val="annotation subject"/>
    <w:basedOn w:val="a8"/>
    <w:next w:val="a8"/>
    <w:link w:val="af"/>
    <w:uiPriority w:val="99"/>
    <w:semiHidden/>
    <w:unhideWhenUsed/>
    <w:rPr>
      <w:b/>
      <w:bCs/>
    </w:rPr>
  </w:style>
  <w:style w:type="character" w:customStyle="1" w:styleId="af">
    <w:name w:val="コメント内容 (文字)"/>
    <w:basedOn w:val="a9"/>
    <w:link w:val="ae"/>
    <w:uiPriority w:val="99"/>
    <w:semiHidden/>
    <w:rPr>
      <w:rFonts w:ascii="Century" w:eastAsia="ＭＳ 明朝" w:hAnsi="Century" w:cs="Times New Roman"/>
      <w:b/>
      <w:bCs/>
      <w:kern w:val="2"/>
      <w:sz w:val="21"/>
      <w:szCs w:val="22"/>
    </w:rPr>
  </w:style>
  <w:style w:type="paragraph" w:styleId="af0">
    <w:name w:val="Revision"/>
    <w:hidden/>
    <w:uiPriority w:val="99"/>
    <w:semiHidden/>
    <w:rPr>
      <w:kern w:val="2"/>
      <w:sz w:val="21"/>
      <w:szCs w:val="22"/>
    </w:rPr>
  </w:style>
  <w:style w:type="paragraph" w:styleId="af1">
    <w:name w:val="Plain Text"/>
    <w:basedOn w:val="a"/>
    <w:link w:val="af2"/>
    <w:rsid w:val="005055CE"/>
    <w:rPr>
      <w:rFonts w:ascii="ＭＳ 明朝" w:hAnsi="Courier New"/>
      <w:szCs w:val="20"/>
    </w:rPr>
  </w:style>
  <w:style w:type="character" w:customStyle="1" w:styleId="af2">
    <w:name w:val="書式なし (文字)"/>
    <w:basedOn w:val="a0"/>
    <w:link w:val="af1"/>
    <w:rsid w:val="005055C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78EF-3D8E-4A8F-A659-E564A117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2022-08-09T04:56:00Z</dcterms:created>
  <dcterms:modified xsi:type="dcterms:W3CDTF">2022-08-09T04:57:00Z</dcterms:modified>
</cp:coreProperties>
</file>