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97" w:rsidRPr="00924A83" w:rsidRDefault="00711797" w:rsidP="00924A83">
      <w:pPr>
        <w:pStyle w:val="a5"/>
        <w:spacing w:line="400" w:lineRule="exact"/>
        <w:ind w:leftChars="450" w:left="945" w:rightChars="450" w:right="945"/>
        <w:jc w:val="left"/>
        <w:rPr>
          <w:rFonts w:ascii="ＭＳ ゴシック" w:eastAsia="ＭＳ ゴシック" w:hAnsi="ＭＳ ゴシック"/>
          <w:sz w:val="28"/>
          <w:szCs w:val="28"/>
        </w:rPr>
      </w:pPr>
      <w:r w:rsidRPr="00924A83">
        <w:rPr>
          <w:rFonts w:ascii="ＭＳ ゴシック" w:eastAsia="ＭＳ ゴシック" w:hAnsi="ＭＳ ゴシック" w:hint="eastAsia"/>
          <w:sz w:val="28"/>
          <w:szCs w:val="28"/>
        </w:rPr>
        <w:t>日本銀行金融ネットワークシステムを利用して行う</w:t>
      </w:r>
    </w:p>
    <w:p w:rsidR="00711797" w:rsidRPr="00924A83" w:rsidRDefault="00711797" w:rsidP="00924A83">
      <w:pPr>
        <w:pStyle w:val="a5"/>
        <w:spacing w:line="400" w:lineRule="exact"/>
        <w:ind w:leftChars="450" w:left="945" w:rightChars="450" w:right="94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当座勘定払戻関係事務</w:t>
      </w:r>
      <w:r w:rsidR="008E18F1" w:rsidRPr="00924A83">
        <w:rPr>
          <w:rFonts w:ascii="ＭＳ ゴシック" w:eastAsia="ＭＳ ゴシック" w:hAnsi="ＭＳ ゴシック" w:hint="eastAsia"/>
          <w:sz w:val="28"/>
          <w:szCs w:val="28"/>
        </w:rPr>
        <w:t>（市中流通拠点）に関する規則</w:t>
      </w:r>
    </w:p>
    <w:p w:rsidR="00711797" w:rsidRDefault="00711797">
      <w:pPr>
        <w:autoSpaceDE w:val="0"/>
        <w:autoSpaceDN w:val="0"/>
        <w:textAlignment w:val="center"/>
        <w:rPr>
          <w:rFonts w:ascii="ＭＳ 明朝"/>
          <w:kern w:val="0"/>
        </w:rPr>
      </w:pPr>
    </w:p>
    <w:p w:rsidR="00711797" w:rsidRPr="005D5CFD" w:rsidRDefault="00711797">
      <w:pPr>
        <w:spacing w:line="440" w:lineRule="exact"/>
        <w:jc w:val="right"/>
        <w:rPr>
          <w:rFonts w:ascii="?l?r ??fc"/>
          <w:sz w:val="32"/>
        </w:rPr>
      </w:pPr>
    </w:p>
    <w:p w:rsidR="00711797" w:rsidRDefault="00711797">
      <w:pPr>
        <w:spacing w:line="440" w:lineRule="exact"/>
        <w:rPr>
          <w:rFonts w:ascii="?l?r ??fc"/>
          <w:sz w:val="24"/>
        </w:rPr>
      </w:pPr>
      <w:r>
        <w:rPr>
          <w:rFonts w:hint="eastAsia"/>
          <w:sz w:val="24"/>
        </w:rPr>
        <w:t>（趣旨）</w:t>
      </w:r>
    </w:p>
    <w:p w:rsidR="00711797" w:rsidRDefault="00711797">
      <w:pPr>
        <w:spacing w:line="440" w:lineRule="exact"/>
        <w:ind w:left="238" w:hanging="238"/>
        <w:rPr>
          <w:sz w:val="24"/>
        </w:rPr>
      </w:pPr>
      <w:r>
        <w:rPr>
          <w:rFonts w:hint="eastAsia"/>
          <w:sz w:val="24"/>
        </w:rPr>
        <w:t>第１条　この規則は、日本銀行金融ネットワークシステム（以下「日銀ネット」という。）を利用して行う、市中流通拠点（市中流通拠点における貨幣の受払要綱３．の市中流通拠点をいう。以下同じ。）における</w:t>
      </w:r>
      <w:r>
        <w:rPr>
          <w:rFonts w:ascii="ＭＳ 明朝" w:hAnsi="ＭＳ 明朝" w:hint="eastAsia"/>
          <w:sz w:val="24"/>
          <w:szCs w:val="24"/>
        </w:rPr>
        <w:t>当座勘定の払戻にかかる事務</w:t>
      </w:r>
      <w:r>
        <w:rPr>
          <w:rFonts w:hint="eastAsia"/>
          <w:sz w:val="24"/>
        </w:rPr>
        <w:t>（以下「</w:t>
      </w:r>
      <w:r>
        <w:rPr>
          <w:rFonts w:ascii="ＭＳ 明朝" w:hAnsi="ＭＳ 明朝" w:hint="eastAsia"/>
          <w:sz w:val="24"/>
          <w:szCs w:val="24"/>
        </w:rPr>
        <w:t>当座勘定払戻関係事務</w:t>
      </w:r>
      <w:r>
        <w:rPr>
          <w:rFonts w:hint="eastAsia"/>
          <w:sz w:val="24"/>
        </w:rPr>
        <w:t>（市中流通拠点）」という。）について、</w:t>
      </w:r>
      <w:r>
        <w:rPr>
          <w:rFonts w:hint="eastAsia"/>
          <w:sz w:val="24"/>
          <w:szCs w:val="24"/>
        </w:rPr>
        <w:t>当座勘定取引についての日本銀行金融ネットワークシステムの利用に関する規則（以下「当座勘定特則」という。）</w:t>
      </w:r>
      <w:r>
        <w:rPr>
          <w:rFonts w:hint="eastAsia"/>
          <w:sz w:val="24"/>
        </w:rPr>
        <w:t>の特則を定めるものとする。</w:t>
      </w:r>
    </w:p>
    <w:p w:rsidR="00711797" w:rsidRDefault="007A6275">
      <w:pPr>
        <w:spacing w:line="440" w:lineRule="exact"/>
        <w:ind w:left="238" w:hanging="238"/>
        <w:rPr>
          <w:sz w:val="24"/>
        </w:rPr>
      </w:pPr>
      <w:r>
        <w:rPr>
          <w:rFonts w:hint="eastAsia"/>
          <w:sz w:val="24"/>
        </w:rPr>
        <w:t>２．</w:t>
      </w:r>
      <w:r>
        <w:rPr>
          <w:rFonts w:ascii="ＭＳ 明朝" w:hAnsi="ＭＳ 明朝" w:hint="eastAsia"/>
          <w:sz w:val="24"/>
          <w:szCs w:val="24"/>
        </w:rPr>
        <w:t>当座勘定払戻関係事務</w:t>
      </w:r>
      <w:r>
        <w:rPr>
          <w:rFonts w:hint="eastAsia"/>
          <w:sz w:val="24"/>
        </w:rPr>
        <w:t>（市中流通拠点）については、</w:t>
      </w:r>
      <w:r>
        <w:rPr>
          <w:rFonts w:hint="eastAsia"/>
          <w:sz w:val="24"/>
          <w:szCs w:val="24"/>
        </w:rPr>
        <w:t>当座勘定特則第２条から第５条までおよび第１２条の規定は適用しない。</w:t>
      </w:r>
    </w:p>
    <w:p w:rsidR="00711797" w:rsidRDefault="00711797">
      <w:pPr>
        <w:spacing w:line="440" w:lineRule="exact"/>
        <w:ind w:left="238" w:hanging="238"/>
        <w:rPr>
          <w:sz w:val="24"/>
        </w:rPr>
      </w:pPr>
      <w:r>
        <w:rPr>
          <w:rFonts w:hint="eastAsia"/>
          <w:sz w:val="24"/>
        </w:rPr>
        <w:t>（払戻請求方法）</w:t>
      </w:r>
    </w:p>
    <w:p w:rsidR="00711797" w:rsidRDefault="00711797">
      <w:pPr>
        <w:spacing w:line="440" w:lineRule="exact"/>
        <w:ind w:left="238" w:hanging="238"/>
        <w:rPr>
          <w:sz w:val="24"/>
        </w:rPr>
      </w:pPr>
      <w:r>
        <w:rPr>
          <w:rFonts w:hint="eastAsia"/>
          <w:sz w:val="24"/>
        </w:rPr>
        <w:t xml:space="preserve">第２条　</w:t>
      </w:r>
      <w:r>
        <w:rPr>
          <w:rFonts w:hint="eastAsia"/>
          <w:sz w:val="24"/>
          <w:szCs w:val="24"/>
        </w:rPr>
        <w:t>市中流通拠点利用先</w:t>
      </w:r>
      <w:r w:rsidR="007A6275">
        <w:rPr>
          <w:rFonts w:hint="eastAsia"/>
          <w:sz w:val="24"/>
        </w:rPr>
        <w:t>（市中流通拠点における貨幣の受払要綱３．の</w:t>
      </w:r>
      <w:r w:rsidR="007A6275">
        <w:rPr>
          <w:rFonts w:hint="eastAsia"/>
          <w:sz w:val="24"/>
          <w:szCs w:val="24"/>
        </w:rPr>
        <w:t>利用先として日本銀行から承認を受けた先をいう。以下同じ。）</w:t>
      </w:r>
      <w:r>
        <w:rPr>
          <w:rFonts w:hint="eastAsia"/>
          <w:sz w:val="24"/>
        </w:rPr>
        <w:t>は、自己の当座勘定の払戻を市中流通拠点において受ける場合には、日銀ネットにより日本銀行に払戻の請求を行う。</w:t>
      </w:r>
    </w:p>
    <w:p w:rsidR="00711797" w:rsidRDefault="00711797">
      <w:pPr>
        <w:spacing w:line="420" w:lineRule="exact"/>
        <w:ind w:left="240" w:hangingChars="100" w:hanging="240"/>
        <w:rPr>
          <w:sz w:val="24"/>
        </w:rPr>
      </w:pPr>
      <w:r>
        <w:rPr>
          <w:rFonts w:ascii="ＭＳ 明朝" w:hAnsi="ＭＳ 明朝" w:hint="eastAsia"/>
          <w:sz w:val="24"/>
          <w:szCs w:val="24"/>
        </w:rPr>
        <w:t>２．</w:t>
      </w:r>
      <w:r>
        <w:rPr>
          <w:rFonts w:hint="eastAsia"/>
          <w:sz w:val="24"/>
          <w:szCs w:val="24"/>
        </w:rPr>
        <w:t>市中流通拠点利用先</w:t>
      </w:r>
      <w:r>
        <w:rPr>
          <w:rFonts w:hint="eastAsia"/>
          <w:sz w:val="24"/>
        </w:rPr>
        <w:t>は、</w:t>
      </w:r>
      <w:r>
        <w:rPr>
          <w:rFonts w:ascii="ＭＳ 明朝" w:hAnsi="ＭＳ 明朝" w:hint="eastAsia"/>
          <w:sz w:val="24"/>
          <w:szCs w:val="24"/>
        </w:rPr>
        <w:t>前項に規定する払戻の請求にかかる</w:t>
      </w:r>
      <w:r>
        <w:rPr>
          <w:rFonts w:hint="eastAsia"/>
          <w:sz w:val="24"/>
        </w:rPr>
        <w:t>当座勘定の払戻を受ける場合には、小切手を使用しないものとする。</w:t>
      </w:r>
    </w:p>
    <w:p w:rsidR="00711797" w:rsidRDefault="00711797">
      <w:pPr>
        <w:spacing w:line="440" w:lineRule="exact"/>
        <w:ind w:left="238" w:hanging="238"/>
        <w:rPr>
          <w:sz w:val="24"/>
        </w:rPr>
      </w:pPr>
      <w:r>
        <w:rPr>
          <w:rFonts w:hint="eastAsia"/>
          <w:sz w:val="24"/>
        </w:rPr>
        <w:t>３．</w:t>
      </w:r>
      <w:r>
        <w:rPr>
          <w:rFonts w:hint="eastAsia"/>
          <w:sz w:val="24"/>
          <w:szCs w:val="24"/>
        </w:rPr>
        <w:t>市中流通拠点利用先は</w:t>
      </w:r>
      <w:r>
        <w:rPr>
          <w:rFonts w:hint="eastAsia"/>
          <w:sz w:val="24"/>
        </w:rPr>
        <w:t>、第１項に規定する払戻の請求を行う場合には、払戻を受ける日の前営業日に、日銀ネットにより次の各号に掲げる事項を日本銀行に通知する。</w:t>
      </w:r>
    </w:p>
    <w:p w:rsidR="00711797" w:rsidRDefault="00711797">
      <w:pPr>
        <w:spacing w:line="440" w:lineRule="exact"/>
        <w:ind w:left="364" w:hanging="364"/>
        <w:rPr>
          <w:sz w:val="24"/>
        </w:rPr>
      </w:pPr>
      <w:r>
        <w:rPr>
          <w:rFonts w:hint="eastAsia"/>
          <w:sz w:val="24"/>
        </w:rPr>
        <w:t>（１）取引実行日</w:t>
      </w:r>
    </w:p>
    <w:p w:rsidR="00711797" w:rsidRDefault="00711797">
      <w:pPr>
        <w:spacing w:line="440" w:lineRule="exact"/>
        <w:ind w:left="364" w:hanging="364"/>
        <w:rPr>
          <w:sz w:val="24"/>
        </w:rPr>
      </w:pPr>
      <w:r>
        <w:rPr>
          <w:rFonts w:hint="eastAsia"/>
          <w:sz w:val="24"/>
        </w:rPr>
        <w:t>（２）払戻金額</w:t>
      </w:r>
    </w:p>
    <w:p w:rsidR="00711797" w:rsidRDefault="00711797">
      <w:pPr>
        <w:spacing w:line="440" w:lineRule="exact"/>
        <w:ind w:left="364" w:hanging="364"/>
        <w:rPr>
          <w:sz w:val="24"/>
        </w:rPr>
      </w:pPr>
      <w:r>
        <w:rPr>
          <w:rFonts w:hint="eastAsia"/>
          <w:sz w:val="24"/>
        </w:rPr>
        <w:t>（３）その他日本銀行が定める事項</w:t>
      </w:r>
    </w:p>
    <w:p w:rsidR="00711797" w:rsidRDefault="00711797">
      <w:pPr>
        <w:spacing w:line="440" w:lineRule="exact"/>
        <w:ind w:left="238" w:hanging="238"/>
        <w:rPr>
          <w:sz w:val="24"/>
        </w:rPr>
      </w:pPr>
      <w:r>
        <w:rPr>
          <w:rFonts w:hint="eastAsia"/>
          <w:sz w:val="24"/>
        </w:rPr>
        <w:t>４．</w:t>
      </w:r>
      <w:r>
        <w:rPr>
          <w:rFonts w:hint="eastAsia"/>
          <w:sz w:val="24"/>
          <w:szCs w:val="24"/>
        </w:rPr>
        <w:t>市中流通拠点利用先</w:t>
      </w:r>
      <w:r>
        <w:rPr>
          <w:rFonts w:hint="eastAsia"/>
          <w:sz w:val="24"/>
        </w:rPr>
        <w:t>は、日本銀行が別に定める時刻までは、第１項に規定する払戻の請求を日銀ネットを利用して取消すことができる。</w:t>
      </w:r>
    </w:p>
    <w:p w:rsidR="00711797" w:rsidRDefault="00711797">
      <w:pPr>
        <w:spacing w:line="440" w:lineRule="exact"/>
        <w:ind w:left="180" w:hanging="180"/>
        <w:rPr>
          <w:sz w:val="24"/>
          <w:szCs w:val="24"/>
        </w:rPr>
      </w:pPr>
      <w:r>
        <w:rPr>
          <w:rFonts w:hint="eastAsia"/>
          <w:sz w:val="24"/>
          <w:szCs w:val="24"/>
        </w:rPr>
        <w:lastRenderedPageBreak/>
        <w:t>（払戻を行う時期）</w:t>
      </w:r>
      <w:bookmarkStart w:id="0" w:name="_GoBack"/>
      <w:bookmarkEnd w:id="0"/>
    </w:p>
    <w:p w:rsidR="00711797" w:rsidRDefault="00711797">
      <w:pPr>
        <w:spacing w:line="440" w:lineRule="exact"/>
        <w:ind w:left="180" w:hanging="180"/>
        <w:rPr>
          <w:sz w:val="24"/>
          <w:szCs w:val="24"/>
        </w:rPr>
      </w:pPr>
      <w:r>
        <w:rPr>
          <w:rFonts w:hint="eastAsia"/>
          <w:sz w:val="24"/>
          <w:szCs w:val="24"/>
        </w:rPr>
        <w:t>第３条　市中流通拠点利用先は、前条に規定する払戻の請求を行った場合には、日本銀行が別に定める時刻までに、市中流通拠点において、自己の当座勘定の払戻を受ける。</w:t>
      </w:r>
    </w:p>
    <w:p w:rsidR="00711797" w:rsidRDefault="00711797">
      <w:pPr>
        <w:spacing w:line="440" w:lineRule="exact"/>
        <w:ind w:left="238" w:hanging="238"/>
        <w:rPr>
          <w:rFonts w:ascii="?l?r ??fc"/>
          <w:sz w:val="24"/>
          <w:szCs w:val="24"/>
        </w:rPr>
      </w:pPr>
      <w:r>
        <w:rPr>
          <w:rFonts w:hint="eastAsia"/>
          <w:sz w:val="24"/>
          <w:szCs w:val="24"/>
        </w:rPr>
        <w:t>（日銀ネット障害時等の取扱い）</w:t>
      </w:r>
    </w:p>
    <w:p w:rsidR="00711797" w:rsidRDefault="00711797">
      <w:pPr>
        <w:autoSpaceDE w:val="0"/>
        <w:autoSpaceDN w:val="0"/>
        <w:spacing w:line="440" w:lineRule="exact"/>
        <w:ind w:left="238" w:hanging="238"/>
        <w:rPr>
          <w:rFonts w:ascii="?l?r ??fc"/>
          <w:sz w:val="24"/>
          <w:szCs w:val="24"/>
        </w:rPr>
      </w:pPr>
      <w:r>
        <w:rPr>
          <w:rFonts w:ascii="ＭＳ 明朝" w:hAnsi="ＭＳ 明朝" w:hint="eastAsia"/>
          <w:sz w:val="24"/>
          <w:szCs w:val="24"/>
        </w:rPr>
        <w:t>第４条</w:t>
      </w:r>
      <w:r>
        <w:rPr>
          <w:rFonts w:hint="eastAsia"/>
          <w:sz w:val="24"/>
          <w:szCs w:val="24"/>
        </w:rPr>
        <w:t xml:space="preserve">　日本銀行は、日銀ネットの障害等によりこの規則の規定による取扱いができないと認めた場合には、この規則の規定と異なる取扱いをし、または市中流通拠点利用先にこの規則の規定と異なる取扱いを指示することができる。</w:t>
      </w:r>
    </w:p>
    <w:p w:rsidR="00711797" w:rsidRDefault="00711797">
      <w:pPr>
        <w:spacing w:line="440" w:lineRule="exact"/>
        <w:ind w:left="238" w:hanging="238"/>
        <w:rPr>
          <w:rFonts w:ascii="?l?r ??fc"/>
          <w:sz w:val="24"/>
          <w:szCs w:val="24"/>
        </w:rPr>
      </w:pPr>
      <w:r>
        <w:rPr>
          <w:rFonts w:hint="eastAsia"/>
          <w:sz w:val="24"/>
          <w:szCs w:val="24"/>
        </w:rPr>
        <w:t>（所要事項の決定等）</w:t>
      </w:r>
    </w:p>
    <w:p w:rsidR="00711797" w:rsidRDefault="00711797">
      <w:pPr>
        <w:autoSpaceDE w:val="0"/>
        <w:autoSpaceDN w:val="0"/>
        <w:spacing w:line="440" w:lineRule="exact"/>
        <w:ind w:left="238" w:hanging="238"/>
        <w:rPr>
          <w:sz w:val="24"/>
          <w:szCs w:val="24"/>
        </w:rPr>
      </w:pPr>
      <w:r>
        <w:rPr>
          <w:rFonts w:ascii="ＭＳ 明朝" w:hAnsi="ＭＳ 明朝" w:hint="eastAsia"/>
          <w:sz w:val="24"/>
          <w:szCs w:val="24"/>
        </w:rPr>
        <w:t>第５条</w:t>
      </w:r>
      <w:r>
        <w:rPr>
          <w:rFonts w:hint="eastAsia"/>
          <w:sz w:val="24"/>
          <w:szCs w:val="24"/>
        </w:rPr>
        <w:t xml:space="preserve">　日本銀行は、日銀ネットを利用して行う</w:t>
      </w:r>
      <w:r>
        <w:rPr>
          <w:rFonts w:hint="eastAsia"/>
          <w:sz w:val="24"/>
        </w:rPr>
        <w:t>当座勘定払戻関係事務（市中流通拠点）</w:t>
      </w:r>
      <w:r>
        <w:rPr>
          <w:rFonts w:hint="eastAsia"/>
          <w:sz w:val="24"/>
          <w:szCs w:val="24"/>
        </w:rPr>
        <w:t>の適切な運用を確保するため、この規則に定めるもののほか、所要の事項を定め、または所要の措置を講じることができる。</w:t>
      </w:r>
    </w:p>
    <w:p w:rsidR="00711797" w:rsidRDefault="00711797">
      <w:pPr>
        <w:autoSpaceDE w:val="0"/>
        <w:autoSpaceDN w:val="0"/>
        <w:spacing w:line="440" w:lineRule="exact"/>
        <w:ind w:left="238" w:hanging="238"/>
        <w:rPr>
          <w:rFonts w:ascii="ＭＳ 明朝" w:hAnsi="ＭＳ 明朝"/>
          <w:sz w:val="24"/>
          <w:szCs w:val="24"/>
        </w:rPr>
      </w:pPr>
      <w:r>
        <w:rPr>
          <w:rFonts w:ascii="ＭＳ 明朝" w:hAnsi="ＭＳ 明朝" w:hint="eastAsia"/>
          <w:sz w:val="24"/>
          <w:szCs w:val="24"/>
        </w:rPr>
        <w:t>（利用制限）</w:t>
      </w:r>
    </w:p>
    <w:p w:rsidR="00711797" w:rsidRDefault="00711797">
      <w:pPr>
        <w:autoSpaceDE w:val="0"/>
        <w:autoSpaceDN w:val="0"/>
        <w:spacing w:line="440" w:lineRule="exact"/>
        <w:ind w:left="238" w:hanging="238"/>
        <w:rPr>
          <w:rFonts w:ascii="ＭＳ 明朝" w:hAnsi="ＭＳ 明朝"/>
          <w:sz w:val="24"/>
          <w:szCs w:val="24"/>
        </w:rPr>
      </w:pPr>
      <w:r>
        <w:rPr>
          <w:rFonts w:ascii="ＭＳ 明朝" w:hAnsi="ＭＳ 明朝" w:hint="eastAsia"/>
          <w:sz w:val="24"/>
          <w:szCs w:val="24"/>
        </w:rPr>
        <w:t>第６条　日本銀行は、当座勘定特則第１２条第２項の規定により、</w:t>
      </w:r>
      <w:r>
        <w:rPr>
          <w:rFonts w:hint="eastAsia"/>
          <w:sz w:val="24"/>
          <w:szCs w:val="24"/>
        </w:rPr>
        <w:t>市中流通拠点利用先による当座勘定特則第２条の２に規定する払戻の請求のための日銀ネットの利用を一定期間制限する場合には、当該市中流通拠点利用先による</w:t>
      </w:r>
      <w:r>
        <w:rPr>
          <w:rFonts w:ascii="ＭＳ 明朝" w:hAnsi="ＭＳ 明朝" w:hint="eastAsia"/>
          <w:sz w:val="24"/>
          <w:szCs w:val="24"/>
        </w:rPr>
        <w:t>第２条に規定する払戻の請求のための日銀ネットの利用を一定期間制限することができる。</w:t>
      </w:r>
    </w:p>
    <w:p w:rsidR="00711797" w:rsidRDefault="00711797">
      <w:pPr>
        <w:spacing w:line="440" w:lineRule="exact"/>
        <w:ind w:left="238" w:hanging="238"/>
        <w:rPr>
          <w:rFonts w:ascii="?l?r ??fc"/>
          <w:sz w:val="24"/>
          <w:szCs w:val="24"/>
        </w:rPr>
      </w:pPr>
      <w:r>
        <w:rPr>
          <w:rFonts w:hint="eastAsia"/>
          <w:sz w:val="24"/>
          <w:szCs w:val="24"/>
        </w:rPr>
        <w:t>（規則の改正）</w:t>
      </w:r>
    </w:p>
    <w:p w:rsidR="00711797" w:rsidRDefault="00711797">
      <w:pPr>
        <w:autoSpaceDE w:val="0"/>
        <w:autoSpaceDN w:val="0"/>
        <w:spacing w:line="440" w:lineRule="exact"/>
        <w:ind w:left="238" w:hanging="238"/>
        <w:rPr>
          <w:sz w:val="24"/>
          <w:szCs w:val="24"/>
        </w:rPr>
      </w:pPr>
      <w:r>
        <w:rPr>
          <w:rFonts w:ascii="ＭＳ 明朝" w:hAnsi="ＭＳ 明朝" w:hint="eastAsia"/>
          <w:sz w:val="24"/>
          <w:szCs w:val="24"/>
        </w:rPr>
        <w:t>第７条</w:t>
      </w:r>
      <w:r>
        <w:rPr>
          <w:rFonts w:hint="eastAsia"/>
          <w:sz w:val="24"/>
          <w:szCs w:val="24"/>
        </w:rPr>
        <w:t xml:space="preserve">　日本銀行は、日銀ネットを利用して行う</w:t>
      </w:r>
      <w:r>
        <w:rPr>
          <w:rFonts w:hint="eastAsia"/>
          <w:sz w:val="24"/>
        </w:rPr>
        <w:t>当座勘定払戻関係事務（市中流通拠点）</w:t>
      </w:r>
      <w:r>
        <w:rPr>
          <w:rFonts w:hint="eastAsia"/>
          <w:sz w:val="24"/>
          <w:szCs w:val="24"/>
        </w:rPr>
        <w:t>の適切な運用を確保するため、必要ある場合は、この規則を改正することができる。</w:t>
      </w:r>
    </w:p>
    <w:p w:rsidR="005D358D" w:rsidRDefault="005D358D" w:rsidP="005D358D">
      <w:pPr>
        <w:tabs>
          <w:tab w:val="left" w:pos="8900"/>
        </w:tabs>
        <w:spacing w:line="320" w:lineRule="exact"/>
        <w:ind w:rightChars="-12" w:right="-25" w:firstLineChars="350" w:firstLine="700"/>
        <w:jc w:val="right"/>
        <w:rPr>
          <w:rFonts w:ascii="ＭＳ 明朝" w:hAnsi="ＭＳ 明朝"/>
          <w:sz w:val="20"/>
        </w:rPr>
      </w:pPr>
    </w:p>
    <w:sectPr w:rsidR="005D358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D1" w:rsidRDefault="00FB1ED1">
      <w:r>
        <w:separator/>
      </w:r>
    </w:p>
  </w:endnote>
  <w:endnote w:type="continuationSeparator" w:id="0">
    <w:p w:rsidR="00FB1ED1" w:rsidRDefault="00FB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C" w:rsidRDefault="00EA2E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40" w:rsidRPr="00924A83" w:rsidRDefault="00924A83" w:rsidP="00924A83">
    <w:pPr>
      <w:pStyle w:val="a3"/>
      <w:jc w:val="center"/>
      <w:rPr>
        <w:rFonts w:ascii="ＭＳ 明朝" w:hAnsi="ＭＳ 明朝"/>
        <w:sz w:val="20"/>
        <w:szCs w:val="20"/>
      </w:rPr>
    </w:pPr>
    <w:r w:rsidRPr="005055CE">
      <w:rPr>
        <w:rFonts w:ascii="ＭＳ 明朝" w:hAnsi="ＭＳ 明朝"/>
        <w:sz w:val="20"/>
        <w:szCs w:val="20"/>
      </w:rPr>
      <w:fldChar w:fldCharType="begin"/>
    </w:r>
    <w:r w:rsidRPr="005055CE">
      <w:rPr>
        <w:rFonts w:ascii="ＭＳ 明朝" w:hAnsi="ＭＳ 明朝"/>
        <w:sz w:val="20"/>
        <w:szCs w:val="20"/>
      </w:rPr>
      <w:instrText xml:space="preserve"> PAGE   \* MERGEFORMAT </w:instrText>
    </w:r>
    <w:r w:rsidRPr="005055CE">
      <w:rPr>
        <w:rFonts w:ascii="ＭＳ 明朝" w:hAnsi="ＭＳ 明朝"/>
        <w:sz w:val="20"/>
        <w:szCs w:val="20"/>
      </w:rPr>
      <w:fldChar w:fldCharType="separate"/>
    </w:r>
    <w:r w:rsidR="00EA2E2C">
      <w:rPr>
        <w:rFonts w:ascii="ＭＳ 明朝" w:hAnsi="ＭＳ 明朝"/>
        <w:noProof/>
        <w:sz w:val="20"/>
        <w:szCs w:val="20"/>
      </w:rPr>
      <w:t>1</w:t>
    </w:r>
    <w:r w:rsidRPr="005055CE">
      <w:rPr>
        <w:rFonts w:ascii="ＭＳ 明朝" w:hAnsi="ＭＳ 明朝"/>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C" w:rsidRDefault="00EA2E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D1" w:rsidRDefault="00FB1ED1">
      <w:r>
        <w:separator/>
      </w:r>
    </w:p>
  </w:footnote>
  <w:footnote w:type="continuationSeparator" w:id="0">
    <w:p w:rsidR="00FB1ED1" w:rsidRDefault="00FB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C" w:rsidRDefault="00EA2E2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C" w:rsidRDefault="00EA2E2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C" w:rsidRDefault="00EA2E2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rawingGridVerticalSpacing w:val="2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4AF"/>
    <w:rsid w:val="001A15D2"/>
    <w:rsid w:val="001C4991"/>
    <w:rsid w:val="00236645"/>
    <w:rsid w:val="00236AED"/>
    <w:rsid w:val="003B4FDB"/>
    <w:rsid w:val="00447B10"/>
    <w:rsid w:val="005004AF"/>
    <w:rsid w:val="00541EF4"/>
    <w:rsid w:val="00574955"/>
    <w:rsid w:val="005D358D"/>
    <w:rsid w:val="005D5CFD"/>
    <w:rsid w:val="00636532"/>
    <w:rsid w:val="00711797"/>
    <w:rsid w:val="007706FD"/>
    <w:rsid w:val="007A6275"/>
    <w:rsid w:val="007B140D"/>
    <w:rsid w:val="00892B40"/>
    <w:rsid w:val="008B7938"/>
    <w:rsid w:val="008E18F1"/>
    <w:rsid w:val="00920A83"/>
    <w:rsid w:val="00924A83"/>
    <w:rsid w:val="00C92714"/>
    <w:rsid w:val="00CD057D"/>
    <w:rsid w:val="00D801F1"/>
    <w:rsid w:val="00EA2E2C"/>
    <w:rsid w:val="00FB1ED1"/>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rPr>
      <w:rFonts w:ascii="Century" w:eastAsia="ＭＳ 明朝" w:hAnsi="Century" w:cs="Times New Roman"/>
    </w:rPr>
  </w:style>
  <w:style w:type="paragraph" w:styleId="a5">
    <w:name w:val="List Paragraph"/>
    <w:basedOn w:val="a"/>
    <w:uiPriority w:val="34"/>
    <w:qFormat/>
    <w:pPr>
      <w:ind w:leftChars="400" w:left="840"/>
    </w:pPr>
  </w:style>
  <w:style w:type="character" w:styleId="a6">
    <w:name w:val="page number"/>
    <w:basedOn w:val="a0"/>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unhideWhenUsed/>
    <w:pPr>
      <w:jc w:val="left"/>
    </w:pPr>
  </w:style>
  <w:style w:type="character" w:customStyle="1" w:styleId="a9">
    <w:name w:val="コメント文字列 (文字)"/>
    <w:basedOn w:val="a0"/>
    <w:link w:val="a8"/>
    <w:uiPriority w:val="99"/>
    <w:rPr>
      <w:rFonts w:ascii="Century" w:eastAsia="ＭＳ 明朝" w:hAnsi="Century" w:cs="Times New Roman"/>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rPr>
      <w:rFonts w:ascii="Arial" w:eastAsia="ＭＳ ゴシック" w:hAnsi="Arial" w:cs="Times New Roman"/>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kern w:val="2"/>
      <w:sz w:val="21"/>
      <w:szCs w:val="22"/>
    </w:rPr>
  </w:style>
  <w:style w:type="paragraph" w:styleId="ae">
    <w:name w:val="annotation subject"/>
    <w:basedOn w:val="a8"/>
    <w:next w:val="a8"/>
    <w:link w:val="af"/>
    <w:uiPriority w:val="99"/>
    <w:semiHidden/>
    <w:unhideWhenUsed/>
    <w:rPr>
      <w:b/>
      <w:bCs/>
    </w:rPr>
  </w:style>
  <w:style w:type="character" w:customStyle="1" w:styleId="af">
    <w:name w:val="コメント内容 (文字)"/>
    <w:basedOn w:val="a9"/>
    <w:link w:val="ae"/>
    <w:uiPriority w:val="99"/>
    <w:semiHidden/>
    <w:rPr>
      <w:rFonts w:ascii="Century" w:eastAsia="ＭＳ 明朝" w:hAnsi="Century" w:cs="Times New Roman"/>
      <w:b/>
      <w:bCs/>
      <w:kern w:val="2"/>
      <w:sz w:val="21"/>
      <w:szCs w:val="22"/>
    </w:rPr>
  </w:style>
  <w:style w:type="paragraph" w:styleId="af0">
    <w:name w:val="Revision"/>
    <w:hidden/>
    <w:uiPriority w:val="99"/>
    <w:semiHidden/>
    <w:rPr>
      <w:kern w:val="2"/>
      <w:sz w:val="21"/>
      <w:szCs w:val="22"/>
    </w:rPr>
  </w:style>
  <w:style w:type="paragraph" w:styleId="af1">
    <w:name w:val="Plain Text"/>
    <w:basedOn w:val="a"/>
    <w:link w:val="af2"/>
    <w:rsid w:val="00924A83"/>
    <w:rPr>
      <w:rFonts w:ascii="ＭＳ 明朝" w:hAnsi="Courier New"/>
      <w:szCs w:val="20"/>
    </w:rPr>
  </w:style>
  <w:style w:type="character" w:customStyle="1" w:styleId="af2">
    <w:name w:val="書式なし (文字)"/>
    <w:basedOn w:val="a0"/>
    <w:link w:val="af1"/>
    <w:rsid w:val="00924A8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449C-1497-44EC-AF7C-802E47BE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2022-08-03T03:57:00Z</dcterms:created>
  <dcterms:modified xsi:type="dcterms:W3CDTF">2022-08-03T03:57:00Z</dcterms:modified>
</cp:coreProperties>
</file>