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EC" w:rsidRDefault="00FD71EC" w:rsidP="00A95565">
      <w:pPr>
        <w:spacing w:line="440" w:lineRule="atLeast"/>
        <w:jc w:val="left"/>
        <w:rPr>
          <w:sz w:val="26"/>
        </w:rPr>
      </w:pPr>
    </w:p>
    <w:p w:rsidR="00FD71EC" w:rsidRDefault="00FD71EC" w:rsidP="00E20D8A">
      <w:pPr>
        <w:spacing w:line="320" w:lineRule="exact"/>
        <w:ind w:leftChars="500" w:left="1200" w:rightChars="500" w:right="1200"/>
        <w:jc w:val="left"/>
        <w:rPr>
          <w:rFonts w:ascii="?l?r ??fc" w:eastAsia="ＭＳ ゴシック"/>
          <w:sz w:val="28"/>
        </w:rPr>
      </w:pPr>
      <w:r>
        <w:rPr>
          <w:rFonts w:eastAsia="ＭＳ ゴシック" w:hint="eastAsia"/>
          <w:sz w:val="28"/>
        </w:rPr>
        <w:t>当座勘定取引についての日本銀行金融ネットワークシステムの利用に関する規則</w:t>
      </w:r>
    </w:p>
    <w:p w:rsidR="00E668F9" w:rsidRDefault="00E668F9" w:rsidP="00E668F9">
      <w:pPr>
        <w:autoSpaceDE w:val="0"/>
        <w:autoSpaceDN w:val="0"/>
        <w:textAlignment w:val="center"/>
        <w:rPr>
          <w:rFonts w:ascii="ＭＳ 明朝"/>
          <w:kern w:val="0"/>
        </w:rPr>
      </w:pPr>
    </w:p>
    <w:p w:rsidR="00FD71EC" w:rsidRDefault="00FD71EC" w:rsidP="00A95565">
      <w:pPr>
        <w:spacing w:line="440" w:lineRule="exact"/>
        <w:jc w:val="left"/>
        <w:rPr>
          <w:rFonts w:ascii="?l?r ??fc"/>
          <w:sz w:val="26"/>
        </w:rPr>
      </w:pPr>
    </w:p>
    <w:p w:rsidR="00FD71EC" w:rsidRDefault="00FD71EC">
      <w:pPr>
        <w:spacing w:line="440" w:lineRule="exact"/>
        <w:rPr>
          <w:rFonts w:ascii="?l?r ??fc"/>
        </w:rPr>
      </w:pPr>
      <w:r>
        <w:rPr>
          <w:rFonts w:hint="eastAsia"/>
        </w:rPr>
        <w:t>（趣旨）</w:t>
      </w:r>
    </w:p>
    <w:p w:rsidR="00FD71EC" w:rsidRDefault="00FD71EC">
      <w:pPr>
        <w:spacing w:line="440" w:lineRule="exact"/>
        <w:ind w:left="238" w:hanging="238"/>
        <w:rPr>
          <w:rFonts w:ascii="?l?r ??fc"/>
        </w:rPr>
      </w:pPr>
      <w:r>
        <w:rPr>
          <w:rFonts w:hint="eastAsia"/>
        </w:rPr>
        <w:t>第１条　この規則は、当座勘定取引（</w:t>
      </w:r>
      <w:r w:rsidR="00213C0D" w:rsidRPr="00D12619">
        <w:rPr>
          <w:rFonts w:ascii="ＭＳ 明朝" w:hAnsi="ＭＳ 明朝" w:hint="eastAsia"/>
        </w:rPr>
        <w:t>当座勘定（同時決済口）</w:t>
      </w:r>
      <w:r>
        <w:rPr>
          <w:rFonts w:hint="eastAsia"/>
        </w:rPr>
        <w:t>における取引を除く。）についての日本銀行金融ネットワークシステム（以下「日銀ネット」という。）の利用に関する基本的な事項を定めるものとする。</w:t>
      </w:r>
    </w:p>
    <w:p w:rsidR="00FD71EC" w:rsidRDefault="00FD71EC">
      <w:pPr>
        <w:spacing w:line="440" w:lineRule="exact"/>
        <w:ind w:left="238" w:hanging="238"/>
        <w:rPr>
          <w:rFonts w:ascii="?l?r ??fc"/>
        </w:rPr>
      </w:pPr>
      <w:r>
        <w:rPr>
          <w:rFonts w:hint="eastAsia"/>
        </w:rPr>
        <w:t>（振替依頼方法）</w:t>
      </w:r>
    </w:p>
    <w:p w:rsidR="00FD71EC" w:rsidRDefault="00FD71EC">
      <w:pPr>
        <w:spacing w:line="440" w:lineRule="exact"/>
        <w:ind w:left="238" w:hanging="238"/>
        <w:rPr>
          <w:rFonts w:ascii="?l?r ??fc"/>
        </w:rPr>
      </w:pPr>
      <w:r>
        <w:rPr>
          <w:rFonts w:hint="eastAsia"/>
        </w:rPr>
        <w:t>第２条　日本銀行との間で日銀ネットを利用して当座勘定取引を行う先（以下「オンライン取引先」という。）は、振替依頼（当座勘定規定第５条第１項の振替依頼をいう。</w:t>
      </w:r>
      <w:r w:rsidR="00A6012B" w:rsidRPr="00D41CCA">
        <w:rPr>
          <w:rFonts w:ascii="ＭＳ 明朝" w:hAnsi="ＭＳ 明朝" w:hint="eastAsia"/>
          <w:szCs w:val="24"/>
        </w:rPr>
        <w:t>ただし、日本銀行の当座預金取引の相手方に関する選定基準（取引の拠点にかかる基準）（以下「拠点基準」という。）１．（１）ロ．に定める施設を取引拠点（拠点基準１．（１）の取引拠点をいう。以下同じ。）として行う当座勘定取引における振替依頼を除く。</w:t>
      </w:r>
      <w:r>
        <w:rPr>
          <w:rFonts w:hint="eastAsia"/>
        </w:rPr>
        <w:t>以下同じ。）を行う場合には、日銀ネットを利用するものとする。</w:t>
      </w:r>
    </w:p>
    <w:p w:rsidR="00835978" w:rsidRPr="007F27B9" w:rsidRDefault="00835978" w:rsidP="00835978">
      <w:pPr>
        <w:spacing w:line="440" w:lineRule="exact"/>
        <w:ind w:left="238" w:hanging="238"/>
      </w:pPr>
      <w:r w:rsidRPr="007F27B9">
        <w:rPr>
          <w:rFonts w:hint="eastAsia"/>
        </w:rPr>
        <w:t>（払戻請求方法）</w:t>
      </w:r>
    </w:p>
    <w:p w:rsidR="00835978" w:rsidRPr="007F27B9" w:rsidRDefault="00835978" w:rsidP="00835978">
      <w:pPr>
        <w:spacing w:line="440" w:lineRule="exact"/>
        <w:ind w:left="238" w:hanging="238"/>
      </w:pPr>
      <w:r w:rsidRPr="007F27B9">
        <w:rPr>
          <w:rFonts w:hint="eastAsia"/>
        </w:rPr>
        <w:t>第２条の２　オンライン取引先は、自己の当座勘定の払戻</w:t>
      </w:r>
      <w:r>
        <w:rPr>
          <w:rFonts w:hint="eastAsia"/>
        </w:rPr>
        <w:t>（</w:t>
      </w:r>
      <w:r w:rsidR="00EF36A0" w:rsidRPr="00D41CCA">
        <w:rPr>
          <w:rFonts w:ascii="ＭＳ 明朝" w:hAnsi="ＭＳ 明朝" w:hint="eastAsia"/>
          <w:szCs w:val="24"/>
        </w:rPr>
        <w:t>拠点基準</w:t>
      </w:r>
      <w:r>
        <w:rPr>
          <w:rFonts w:hint="eastAsia"/>
        </w:rPr>
        <w:t>１．（１）ロ</w:t>
      </w:r>
      <w:r>
        <w:rPr>
          <w:rFonts w:hint="eastAsia"/>
        </w:rPr>
        <w:t>.</w:t>
      </w:r>
      <w:r>
        <w:rPr>
          <w:rFonts w:hint="eastAsia"/>
        </w:rPr>
        <w:t>に定める施設を取引拠点として行う自己の当座勘定の払戻を除く。）</w:t>
      </w:r>
      <w:r w:rsidRPr="007F27B9">
        <w:rPr>
          <w:rFonts w:hint="eastAsia"/>
        </w:rPr>
        <w:t>を</w:t>
      </w:r>
      <w:r w:rsidR="00EF36A0" w:rsidRPr="00D41CCA">
        <w:rPr>
          <w:rFonts w:ascii="ＭＳ 明朝" w:hAnsi="ＭＳ 明朝" w:hint="eastAsia"/>
          <w:szCs w:val="24"/>
        </w:rPr>
        <w:t>勘定店（当座勘定規定第１条の２の勘定店をいう。以下同じ。）</w:t>
      </w:r>
      <w:r w:rsidRPr="007F27B9">
        <w:rPr>
          <w:rFonts w:hint="eastAsia"/>
        </w:rPr>
        <w:t>において受ける場合には、日銀ネットにより日本銀行に払戻の請求を行う。</w:t>
      </w:r>
    </w:p>
    <w:p w:rsidR="00EF36A0" w:rsidRPr="00D41CCA" w:rsidRDefault="00EF36A0" w:rsidP="00EF36A0">
      <w:pPr>
        <w:spacing w:line="420" w:lineRule="exact"/>
        <w:ind w:left="240" w:hangingChars="100" w:hanging="240"/>
        <w:rPr>
          <w:rFonts w:ascii="ＭＳ 明朝" w:hAnsi="ＭＳ 明朝"/>
          <w:szCs w:val="24"/>
        </w:rPr>
      </w:pPr>
      <w:r w:rsidRPr="00D41CCA">
        <w:rPr>
          <w:rFonts w:ascii="ＭＳ 明朝" w:hAnsi="ＭＳ 明朝" w:hint="eastAsia"/>
          <w:szCs w:val="24"/>
        </w:rPr>
        <w:t>２．オンライン取引先は、拠点基準１．（１）ロ．に定める施設を取引拠点として行う自己の当座勘定の払戻を勘定店において受ける場合には、日銀ネットにより</w:t>
      </w:r>
      <w:r w:rsidRPr="00D41CCA">
        <w:rPr>
          <w:rFonts w:ascii="ＭＳ 明朝" w:hAnsi="ＭＳ 明朝" w:hint="eastAsia"/>
          <w:szCs w:val="24"/>
        </w:rPr>
        <w:lastRenderedPageBreak/>
        <w:t>日本銀行に払戻の請求を行うことができる。</w:t>
      </w:r>
    </w:p>
    <w:p w:rsidR="00835978" w:rsidRPr="007F27B9" w:rsidRDefault="00EF36A0" w:rsidP="00835978">
      <w:pPr>
        <w:spacing w:line="440" w:lineRule="exact"/>
        <w:ind w:left="238" w:hanging="238"/>
      </w:pPr>
      <w:r>
        <w:rPr>
          <w:rFonts w:hint="eastAsia"/>
        </w:rPr>
        <w:t>３</w:t>
      </w:r>
      <w:r w:rsidR="00835978" w:rsidRPr="007F27B9">
        <w:rPr>
          <w:rFonts w:hint="eastAsia"/>
        </w:rPr>
        <w:t>．オンライン取引先は、</w:t>
      </w:r>
      <w:r w:rsidR="00D45BCE" w:rsidRPr="00D41CCA">
        <w:rPr>
          <w:rFonts w:ascii="ＭＳ 明朝" w:hAnsi="ＭＳ 明朝" w:hint="eastAsia"/>
          <w:szCs w:val="24"/>
        </w:rPr>
        <w:t>第１項または第２項に規定する払戻の請求にかかる</w:t>
      </w:r>
      <w:r w:rsidR="00835978" w:rsidRPr="007F27B9">
        <w:rPr>
          <w:rFonts w:hint="eastAsia"/>
        </w:rPr>
        <w:t>当座勘定の払戻を受ける場合には、小切手を使用しないものとする。</w:t>
      </w:r>
    </w:p>
    <w:p w:rsidR="00835978" w:rsidRPr="007F27B9" w:rsidRDefault="00D45BCE" w:rsidP="00835978">
      <w:pPr>
        <w:spacing w:line="440" w:lineRule="exact"/>
        <w:ind w:left="238" w:hanging="238"/>
      </w:pPr>
      <w:r>
        <w:rPr>
          <w:rFonts w:hint="eastAsia"/>
        </w:rPr>
        <w:t>４</w:t>
      </w:r>
      <w:r w:rsidR="00835978" w:rsidRPr="007F27B9">
        <w:rPr>
          <w:rFonts w:hint="eastAsia"/>
        </w:rPr>
        <w:t>．オンライン取引先は、第１項</w:t>
      </w:r>
      <w:r w:rsidRPr="00D41CCA">
        <w:rPr>
          <w:rFonts w:ascii="ＭＳ 明朝" w:hAnsi="ＭＳ 明朝" w:hint="eastAsia"/>
          <w:szCs w:val="24"/>
        </w:rPr>
        <w:t>または第２項</w:t>
      </w:r>
      <w:r w:rsidR="00835978">
        <w:rPr>
          <w:rFonts w:hint="eastAsia"/>
        </w:rPr>
        <w:t>に規定する</w:t>
      </w:r>
      <w:r w:rsidR="00835978" w:rsidRPr="007F27B9">
        <w:rPr>
          <w:rFonts w:hint="eastAsia"/>
        </w:rPr>
        <w:t>払戻の請求を行う場合には、日銀ネットにより次の各号に掲げる事項を日本銀行にあらかじめ通知する。</w:t>
      </w:r>
    </w:p>
    <w:p w:rsidR="00835978" w:rsidRPr="007F27B9" w:rsidRDefault="00835978" w:rsidP="00835978">
      <w:pPr>
        <w:spacing w:line="440" w:lineRule="exact"/>
        <w:ind w:left="364" w:hanging="364"/>
      </w:pPr>
      <w:r w:rsidRPr="007F27B9">
        <w:rPr>
          <w:rFonts w:hint="eastAsia"/>
        </w:rPr>
        <w:t>（１）取引実行日</w:t>
      </w:r>
      <w:bookmarkStart w:id="0" w:name="_GoBack"/>
      <w:bookmarkEnd w:id="0"/>
    </w:p>
    <w:p w:rsidR="00835978" w:rsidRPr="007F27B9" w:rsidRDefault="00835978" w:rsidP="00835978">
      <w:pPr>
        <w:spacing w:line="440" w:lineRule="exact"/>
        <w:ind w:left="364" w:hanging="364"/>
      </w:pPr>
      <w:r w:rsidRPr="007F27B9">
        <w:rPr>
          <w:rFonts w:hint="eastAsia"/>
        </w:rPr>
        <w:t>（２）払戻金額</w:t>
      </w:r>
    </w:p>
    <w:p w:rsidR="00835978" w:rsidRPr="007F27B9" w:rsidRDefault="00835978" w:rsidP="00835978">
      <w:pPr>
        <w:spacing w:line="440" w:lineRule="exact"/>
        <w:ind w:left="364" w:hanging="364"/>
      </w:pPr>
      <w:r w:rsidRPr="007F27B9">
        <w:rPr>
          <w:rFonts w:hint="eastAsia"/>
        </w:rPr>
        <w:t>（３）受領権限者（日本銀行から現金を受領する権限を有する者をいう。以下同じ。）のＩＤ番号（あらかじめ日本銀行から割り当てられた固有の番号をいう。以下「受領権限者ＩＤ」という。）</w:t>
      </w:r>
    </w:p>
    <w:p w:rsidR="00835978" w:rsidRDefault="00835978" w:rsidP="00835978">
      <w:pPr>
        <w:spacing w:line="440" w:lineRule="exact"/>
        <w:ind w:left="364" w:hanging="364"/>
      </w:pPr>
      <w:r w:rsidRPr="007F27B9">
        <w:rPr>
          <w:rFonts w:hint="eastAsia"/>
        </w:rPr>
        <w:t>（４）その他日本銀行が定める事項</w:t>
      </w:r>
    </w:p>
    <w:p w:rsidR="00234547" w:rsidRPr="00234547" w:rsidRDefault="00234547" w:rsidP="00234547">
      <w:pPr>
        <w:spacing w:line="440" w:lineRule="exact"/>
        <w:ind w:left="364" w:hanging="364"/>
        <w:rPr>
          <w:rFonts w:ascii="游明朝" w:hAnsi="游明朝"/>
          <w:szCs w:val="24"/>
        </w:rPr>
      </w:pPr>
      <w:r w:rsidRPr="00234547">
        <w:rPr>
          <w:rFonts w:ascii="游明朝" w:hAnsi="游明朝" w:hint="eastAsia"/>
          <w:szCs w:val="24"/>
        </w:rPr>
        <w:t>４の２．オンライン取引先は、第１項または第２項に規定する払戻の請求を行う場合には、</w:t>
      </w:r>
      <w:r>
        <w:rPr>
          <w:rFonts w:hint="eastAsia"/>
          <w:kern w:val="0"/>
          <w:szCs w:val="24"/>
        </w:rPr>
        <w:t>払戻を受ける日の前営業日の日本銀行が別に定める時刻までに、</w:t>
      </w:r>
      <w:r w:rsidRPr="00234547">
        <w:rPr>
          <w:rFonts w:ascii="游明朝" w:hAnsi="游明朝" w:hint="eastAsia"/>
          <w:szCs w:val="24"/>
        </w:rPr>
        <w:t>日本銀行が別に定める方法により次の各号に掲げる事項を日本銀行に通知する。</w:t>
      </w:r>
    </w:p>
    <w:p w:rsidR="00234547" w:rsidRPr="00234547" w:rsidRDefault="00234547" w:rsidP="00234547">
      <w:pPr>
        <w:spacing w:line="440" w:lineRule="exact"/>
        <w:ind w:left="364" w:hanging="364"/>
        <w:rPr>
          <w:rFonts w:ascii="游明朝" w:hAnsi="游明朝"/>
          <w:szCs w:val="24"/>
        </w:rPr>
      </w:pPr>
      <w:r w:rsidRPr="00234547">
        <w:rPr>
          <w:rFonts w:ascii="游明朝" w:hAnsi="游明朝" w:hint="eastAsia"/>
          <w:szCs w:val="24"/>
        </w:rPr>
        <w:t>（１）現金の払戻金額の合計金額</w:t>
      </w:r>
    </w:p>
    <w:p w:rsidR="00234547" w:rsidRPr="00234547" w:rsidRDefault="00234547" w:rsidP="00234547">
      <w:pPr>
        <w:spacing w:line="440" w:lineRule="exact"/>
        <w:ind w:left="364" w:hanging="364"/>
        <w:rPr>
          <w:rFonts w:ascii="游明朝" w:hAnsi="游明朝"/>
          <w:szCs w:val="24"/>
        </w:rPr>
      </w:pPr>
      <w:r w:rsidRPr="00234547">
        <w:rPr>
          <w:rFonts w:ascii="游明朝" w:hAnsi="游明朝" w:hint="eastAsia"/>
          <w:szCs w:val="24"/>
        </w:rPr>
        <w:t>（２）券種別施封別の銀行券の内訳金額および貨種別の貨幣の内訳金額</w:t>
      </w:r>
    </w:p>
    <w:p w:rsidR="00234547" w:rsidRPr="00234547" w:rsidRDefault="00234547" w:rsidP="00835978">
      <w:pPr>
        <w:spacing w:line="440" w:lineRule="exact"/>
        <w:ind w:left="364" w:hanging="364"/>
      </w:pPr>
      <w:r w:rsidRPr="00234547">
        <w:rPr>
          <w:rFonts w:ascii="游明朝" w:hAnsi="游明朝" w:hint="eastAsia"/>
          <w:szCs w:val="24"/>
        </w:rPr>
        <w:t>（３）その他日本銀行が定める事項</w:t>
      </w:r>
    </w:p>
    <w:p w:rsidR="00835978" w:rsidRPr="007F27B9" w:rsidRDefault="00D45BCE" w:rsidP="00835978">
      <w:pPr>
        <w:spacing w:line="440" w:lineRule="exact"/>
        <w:ind w:left="238" w:hanging="238"/>
      </w:pPr>
      <w:r>
        <w:rPr>
          <w:rFonts w:hint="eastAsia"/>
        </w:rPr>
        <w:t>５</w:t>
      </w:r>
      <w:r w:rsidR="00835978" w:rsidRPr="007F27B9">
        <w:rPr>
          <w:rFonts w:hint="eastAsia"/>
        </w:rPr>
        <w:t>．オンライン取引先は、日本銀行が別に定める時刻までは、第１項</w:t>
      </w:r>
      <w:r w:rsidRPr="00D41CCA">
        <w:rPr>
          <w:rFonts w:ascii="ＭＳ 明朝" w:hAnsi="ＭＳ 明朝" w:hint="eastAsia"/>
          <w:szCs w:val="24"/>
        </w:rPr>
        <w:t>または第２項</w:t>
      </w:r>
      <w:r w:rsidR="00835978" w:rsidRPr="007F27B9">
        <w:rPr>
          <w:rFonts w:hint="eastAsia"/>
        </w:rPr>
        <w:t>に規定する払戻の請求を日銀ネットを利用して取消すことができる。</w:t>
      </w:r>
    </w:p>
    <w:p w:rsidR="00835978" w:rsidRPr="007F27B9" w:rsidRDefault="00835978" w:rsidP="00835978">
      <w:pPr>
        <w:spacing w:line="440" w:lineRule="exact"/>
        <w:ind w:left="238" w:hanging="238"/>
      </w:pPr>
      <w:r w:rsidRPr="007F27B9">
        <w:rPr>
          <w:rFonts w:hint="eastAsia"/>
        </w:rPr>
        <w:t>（受付番号の通知および暗証番号の作成等）</w:t>
      </w:r>
    </w:p>
    <w:p w:rsidR="00835978" w:rsidRPr="007F27B9" w:rsidRDefault="00835978" w:rsidP="00835978">
      <w:pPr>
        <w:spacing w:line="440" w:lineRule="exact"/>
        <w:ind w:left="238" w:hanging="238"/>
      </w:pPr>
      <w:r w:rsidRPr="007F27B9">
        <w:rPr>
          <w:rFonts w:hint="eastAsia"/>
        </w:rPr>
        <w:t>第２条の３　日本銀行は、</w:t>
      </w:r>
      <w:r>
        <w:rPr>
          <w:rFonts w:hint="eastAsia"/>
        </w:rPr>
        <w:t>前条</w:t>
      </w:r>
      <w:r w:rsidRPr="007F27B9">
        <w:rPr>
          <w:rFonts w:hint="eastAsia"/>
        </w:rPr>
        <w:t>に規定する払戻の請求があった場合には、当該払戻の請求に対応する番号（以下「受付番号」という。）を、日銀ネットによりオンライン取引先に通知する。</w:t>
      </w:r>
    </w:p>
    <w:p w:rsidR="00835978" w:rsidRPr="007F27B9" w:rsidRDefault="00835978" w:rsidP="00835978">
      <w:pPr>
        <w:spacing w:line="440" w:lineRule="exact"/>
        <w:ind w:left="238" w:hanging="238"/>
      </w:pPr>
      <w:r w:rsidRPr="007F27B9">
        <w:rPr>
          <w:rFonts w:hint="eastAsia"/>
        </w:rPr>
        <w:t>２．日本銀行は、</w:t>
      </w:r>
      <w:r>
        <w:rPr>
          <w:rFonts w:hint="eastAsia"/>
        </w:rPr>
        <w:t>前条</w:t>
      </w:r>
      <w:r w:rsidRPr="007F27B9">
        <w:rPr>
          <w:rFonts w:hint="eastAsia"/>
        </w:rPr>
        <w:t>に規定する払戻の請求があった場合には、受付番号に対応する暗証番号を作成する。</w:t>
      </w:r>
    </w:p>
    <w:p w:rsidR="00835978" w:rsidRPr="007F27B9" w:rsidRDefault="00835978" w:rsidP="00835978">
      <w:pPr>
        <w:spacing w:line="440" w:lineRule="exact"/>
        <w:ind w:left="238" w:hanging="238"/>
      </w:pPr>
      <w:r w:rsidRPr="007F27B9">
        <w:rPr>
          <w:rFonts w:hint="eastAsia"/>
        </w:rPr>
        <w:t>３．オンライン取引先は、</w:t>
      </w:r>
      <w:r>
        <w:rPr>
          <w:rFonts w:hint="eastAsia"/>
        </w:rPr>
        <w:t>前条</w:t>
      </w:r>
      <w:r w:rsidRPr="007F27B9">
        <w:rPr>
          <w:rFonts w:hint="eastAsia"/>
        </w:rPr>
        <w:t>に規定する払戻の請求を行った場合には、第１項により通知を受けた受付番号に対応する暗証番号を、日銀ネットにより照会する。</w:t>
      </w:r>
    </w:p>
    <w:p w:rsidR="005A4844" w:rsidRPr="005A4844" w:rsidRDefault="005A4844" w:rsidP="005A4844">
      <w:pPr>
        <w:spacing w:line="440" w:lineRule="exact"/>
        <w:ind w:left="238" w:hanging="238"/>
      </w:pPr>
      <w:r w:rsidRPr="005A4844">
        <w:rPr>
          <w:rFonts w:hint="eastAsia"/>
        </w:rPr>
        <w:t>（新規発行国債にかかる払込金についての依頼）</w:t>
      </w:r>
    </w:p>
    <w:p w:rsidR="005A4844" w:rsidRPr="005A4844" w:rsidRDefault="005A4844" w:rsidP="005A4844">
      <w:pPr>
        <w:spacing w:line="440" w:lineRule="exact"/>
        <w:ind w:left="238" w:hanging="238"/>
      </w:pPr>
      <w:r w:rsidRPr="005A4844">
        <w:rPr>
          <w:rFonts w:hint="eastAsia"/>
        </w:rPr>
        <w:t>第２条の４　オンライン取引先は、日銀ネットを利用して、勘定店に、新規に発行される振決国債（国債振替決済制度において取扱う国債をいう。）（以下「新規</w:t>
      </w:r>
      <w:r w:rsidRPr="005A4844">
        <w:rPr>
          <w:rFonts w:hint="eastAsia"/>
        </w:rPr>
        <w:lastRenderedPageBreak/>
        <w:t>発行国債」という。）にかかる払込金について自己の当座勘定（拠点基準１．（１）ロ．に定める施設を取引拠点として行う当座勘定取引にかかる自己の当座勘定を除く。）から引落し、これによって当該払込金の払込を行うことを依頼することができる。</w:t>
      </w:r>
    </w:p>
    <w:p w:rsidR="005A4844" w:rsidRPr="005A4844" w:rsidRDefault="005A4844" w:rsidP="005A4844">
      <w:pPr>
        <w:spacing w:line="440" w:lineRule="exact"/>
        <w:ind w:left="238" w:hanging="238"/>
      </w:pPr>
      <w:r w:rsidRPr="005A4844">
        <w:rPr>
          <w:rFonts w:hint="eastAsia"/>
        </w:rPr>
        <w:t>２．前項の規定にもとづく支払に当っては、当座勘定規定の規定を準用するものとする。</w:t>
      </w:r>
    </w:p>
    <w:p w:rsidR="005A4844" w:rsidRPr="005A4844" w:rsidRDefault="005A4844" w:rsidP="005A4844">
      <w:pPr>
        <w:spacing w:line="440" w:lineRule="exact"/>
        <w:ind w:left="238" w:hanging="238"/>
      </w:pPr>
      <w:r w:rsidRPr="005A4844">
        <w:rPr>
          <w:rFonts w:hint="eastAsia"/>
        </w:rPr>
        <w:t>３．第１項の依頼を行うオンライン取引先は、担保に関する基本約定（以下「担保約定」という。）に定める約定金融機関等に属する営業所等であることその他の日本銀行が別に定める条件を満たす場合には、当該依頼と同時に、新規発行国債について担保約定に定める担保差入の申出および日本銀行名義の参加者口座への振替の申請を行うことができる。</w:t>
      </w:r>
    </w:p>
    <w:p w:rsidR="00835978" w:rsidRDefault="00835978" w:rsidP="00835978">
      <w:pPr>
        <w:spacing w:line="440" w:lineRule="exact"/>
        <w:ind w:left="238" w:hanging="238"/>
        <w:rPr>
          <w:rFonts w:ascii="?l?r ??fc"/>
        </w:rPr>
      </w:pPr>
      <w:r>
        <w:rPr>
          <w:rFonts w:hint="eastAsia"/>
        </w:rPr>
        <w:t>（日銀ネットによるその他の依頼）</w:t>
      </w:r>
    </w:p>
    <w:p w:rsidR="00FD71EC" w:rsidRDefault="00FD71EC">
      <w:pPr>
        <w:spacing w:line="440" w:lineRule="exact"/>
        <w:ind w:left="238" w:hanging="238"/>
        <w:rPr>
          <w:rFonts w:ascii="?l?r ??fc"/>
        </w:rPr>
      </w:pPr>
      <w:r>
        <w:rPr>
          <w:rFonts w:hint="eastAsia"/>
        </w:rPr>
        <w:t>第３条　オンライン取引先は、日銀ネットを利用して、勘定店に、一定の金額を自己の当座勘定</w:t>
      </w:r>
      <w:r w:rsidR="00D45BCE" w:rsidRPr="00D41CCA">
        <w:rPr>
          <w:rFonts w:ascii="ＭＳ 明朝" w:hAnsi="ＭＳ 明朝" w:hint="eastAsia"/>
          <w:szCs w:val="24"/>
        </w:rPr>
        <w:t>（拠点基準１．（１）ロ．に定める施設を取引拠点として行う当座勘定取引にかかる自己の当座勘定を除く。）</w:t>
      </w:r>
      <w:r>
        <w:rPr>
          <w:rFonts w:hint="eastAsia"/>
        </w:rPr>
        <w:t>から引落し、これによって日本銀行が別に定める支払を行うことを依頼することができる。</w:t>
      </w:r>
    </w:p>
    <w:p w:rsidR="00FD71EC" w:rsidRDefault="00FD71EC">
      <w:pPr>
        <w:spacing w:line="440" w:lineRule="exact"/>
        <w:ind w:left="238" w:hanging="238"/>
        <w:rPr>
          <w:rFonts w:ascii="?l?r ??fc"/>
        </w:rPr>
      </w:pPr>
      <w:r>
        <w:rPr>
          <w:rFonts w:hint="eastAsia"/>
        </w:rPr>
        <w:t>２．前項の依頼にもとづく支払に当っては、当座勘定規定の規定を準用するものとする。</w:t>
      </w:r>
    </w:p>
    <w:p w:rsidR="00FD71EC" w:rsidRDefault="00FD71EC">
      <w:pPr>
        <w:spacing w:line="440" w:lineRule="exact"/>
        <w:ind w:left="238" w:hanging="238"/>
        <w:rPr>
          <w:rFonts w:ascii="?l?r ??fc"/>
        </w:rPr>
      </w:pPr>
      <w:r>
        <w:rPr>
          <w:rFonts w:hint="eastAsia"/>
        </w:rPr>
        <w:t>（振替依頼を処理する時期）</w:t>
      </w:r>
    </w:p>
    <w:p w:rsidR="00FD71EC" w:rsidRDefault="00FD71EC">
      <w:pPr>
        <w:spacing w:line="440" w:lineRule="exact"/>
        <w:ind w:left="238" w:hanging="238"/>
        <w:rPr>
          <w:rFonts w:ascii="?l?r ??fc"/>
        </w:rPr>
      </w:pPr>
      <w:r>
        <w:rPr>
          <w:rFonts w:hint="eastAsia"/>
        </w:rPr>
        <w:t>第４条　日本銀行は、日銀ネットを利用した振替依頼を受付けた場合には、遅滞なくその振替を行う。この場合において、振替依頼は、日本銀行が別に定める時刻までに行うものとする。</w:t>
      </w:r>
    </w:p>
    <w:p w:rsidR="00835978" w:rsidRPr="007F27B9" w:rsidRDefault="00835978" w:rsidP="00835978">
      <w:pPr>
        <w:spacing w:line="440" w:lineRule="exact"/>
        <w:ind w:left="238" w:hanging="238"/>
      </w:pPr>
      <w:r w:rsidRPr="007F27B9">
        <w:rPr>
          <w:rFonts w:hint="eastAsia"/>
        </w:rPr>
        <w:t>（払戻を行う</w:t>
      </w:r>
      <w:r>
        <w:rPr>
          <w:rFonts w:hint="eastAsia"/>
        </w:rPr>
        <w:t>時期</w:t>
      </w:r>
      <w:r w:rsidRPr="007F27B9">
        <w:rPr>
          <w:rFonts w:hint="eastAsia"/>
        </w:rPr>
        <w:t>）</w:t>
      </w:r>
    </w:p>
    <w:p w:rsidR="00835978" w:rsidRPr="007F27B9" w:rsidRDefault="00835978" w:rsidP="00835978">
      <w:pPr>
        <w:spacing w:line="440" w:lineRule="exact"/>
        <w:ind w:left="238" w:hanging="238"/>
      </w:pPr>
      <w:r w:rsidRPr="007F27B9">
        <w:rPr>
          <w:rFonts w:hint="eastAsia"/>
        </w:rPr>
        <w:t>第４条の２　オンライン取引先は、第２条の２に規定する払戻の請求を行った場合には、日本銀行が</w:t>
      </w:r>
      <w:r w:rsidRPr="00517129">
        <w:rPr>
          <w:rFonts w:hint="eastAsia"/>
        </w:rPr>
        <w:t>別に定める時刻</w:t>
      </w:r>
      <w:r w:rsidRPr="007F27B9">
        <w:rPr>
          <w:rFonts w:hint="eastAsia"/>
        </w:rPr>
        <w:t>までに、</w:t>
      </w:r>
      <w:r w:rsidR="00D45BCE">
        <w:rPr>
          <w:rFonts w:hint="eastAsia"/>
        </w:rPr>
        <w:t>勘定店</w:t>
      </w:r>
      <w:r w:rsidRPr="007F27B9">
        <w:rPr>
          <w:rFonts w:hint="eastAsia"/>
        </w:rPr>
        <w:t>において、自己の当座勘定の払戻を受ける。</w:t>
      </w:r>
    </w:p>
    <w:p w:rsidR="00151B42" w:rsidRDefault="00835978" w:rsidP="004E1279">
      <w:pPr>
        <w:spacing w:line="440" w:lineRule="exact"/>
        <w:ind w:left="238" w:hanging="238"/>
        <w:rPr>
          <w:rFonts w:ascii="游明朝" w:hAnsi="游明朝"/>
          <w:szCs w:val="24"/>
        </w:rPr>
      </w:pPr>
      <w:r w:rsidRPr="007F27B9">
        <w:rPr>
          <w:rFonts w:hint="eastAsia"/>
        </w:rPr>
        <w:t xml:space="preserve">第４条の３　</w:t>
      </w:r>
      <w:r w:rsidR="00234547" w:rsidRPr="00234547">
        <w:rPr>
          <w:rFonts w:ascii="游明朝" w:hAnsi="游明朝" w:hint="eastAsia"/>
          <w:szCs w:val="24"/>
        </w:rPr>
        <w:t>削除</w:t>
      </w:r>
    </w:p>
    <w:p w:rsidR="00835978" w:rsidRPr="007F27B9" w:rsidRDefault="00835978" w:rsidP="004E1279">
      <w:pPr>
        <w:spacing w:line="440" w:lineRule="exact"/>
        <w:ind w:left="238" w:hanging="238"/>
      </w:pPr>
      <w:r w:rsidRPr="007F27B9">
        <w:rPr>
          <w:rFonts w:hint="eastAsia"/>
        </w:rPr>
        <w:t>（払戻に当っての本人確認および日本銀行の免責）</w:t>
      </w:r>
    </w:p>
    <w:p w:rsidR="00835978" w:rsidRPr="007F27B9" w:rsidRDefault="00835978" w:rsidP="00835978">
      <w:pPr>
        <w:spacing w:line="440" w:lineRule="exact"/>
        <w:ind w:left="238" w:hanging="238"/>
      </w:pPr>
      <w:r w:rsidRPr="007F27B9">
        <w:rPr>
          <w:rFonts w:hint="eastAsia"/>
        </w:rPr>
        <w:t>第４条の４　日本銀行は、次の各号に掲げる事項を確認した場合には、第２条の２に規定する払戻の請求にかかるオンライン取引先の当座勘定の払戻を行う。</w:t>
      </w:r>
    </w:p>
    <w:p w:rsidR="007A2C90" w:rsidRPr="00D41CCA" w:rsidRDefault="007A2C90" w:rsidP="007A2C90">
      <w:pPr>
        <w:spacing w:line="420" w:lineRule="exact"/>
        <w:ind w:left="364" w:hanging="364"/>
        <w:rPr>
          <w:rFonts w:ascii="ＭＳ 明朝" w:hAnsi="ＭＳ 明朝"/>
          <w:szCs w:val="24"/>
        </w:rPr>
      </w:pPr>
      <w:r w:rsidRPr="00D41CCA">
        <w:rPr>
          <w:rFonts w:ascii="ＭＳ 明朝" w:hAnsi="ＭＳ 明朝" w:hint="eastAsia"/>
          <w:szCs w:val="24"/>
        </w:rPr>
        <w:t>（</w:t>
      </w:r>
      <w:r w:rsidR="00E20D8A">
        <w:rPr>
          <w:rFonts w:ascii="ＭＳ 明朝" w:hAnsi="ＭＳ 明朝" w:hint="eastAsia"/>
          <w:szCs w:val="24"/>
        </w:rPr>
        <w:t>１</w:t>
      </w:r>
      <w:r w:rsidRPr="00D41CCA">
        <w:rPr>
          <w:rFonts w:ascii="ＭＳ 明朝" w:hAnsi="ＭＳ 明朝" w:hint="eastAsia"/>
          <w:szCs w:val="24"/>
        </w:rPr>
        <w:t>）</w:t>
      </w:r>
      <w:r w:rsidR="00234547" w:rsidRPr="00234547">
        <w:rPr>
          <w:rFonts w:ascii="ＭＳ 明朝" w:hAnsi="ＭＳ 明朝" w:hint="eastAsia"/>
          <w:szCs w:val="24"/>
        </w:rPr>
        <w:t>削除</w:t>
      </w:r>
    </w:p>
    <w:p w:rsidR="00835978" w:rsidRPr="007F27B9" w:rsidRDefault="00835978" w:rsidP="00835978">
      <w:pPr>
        <w:spacing w:line="440" w:lineRule="exact"/>
        <w:ind w:left="364" w:hanging="364"/>
      </w:pPr>
      <w:r w:rsidRPr="007F27B9">
        <w:rPr>
          <w:rFonts w:hint="eastAsia"/>
        </w:rPr>
        <w:t>（</w:t>
      </w:r>
      <w:r w:rsidR="00E20D8A">
        <w:rPr>
          <w:rFonts w:hint="eastAsia"/>
        </w:rPr>
        <w:t>２</w:t>
      </w:r>
      <w:r w:rsidRPr="007F27B9">
        <w:rPr>
          <w:rFonts w:hint="eastAsia"/>
        </w:rPr>
        <w:t>）</w:t>
      </w:r>
      <w:r w:rsidR="00234547" w:rsidRPr="00234547">
        <w:rPr>
          <w:rFonts w:hint="eastAsia"/>
        </w:rPr>
        <w:t>日本銀行が別に定める方法により日本銀行に申出る</w:t>
      </w:r>
      <w:r w:rsidRPr="007F27B9">
        <w:rPr>
          <w:rFonts w:hint="eastAsia"/>
        </w:rPr>
        <w:t>受付番号、暗証番号、払戻金額および受領権限者ＩＤが、日銀ネットによる払戻の請求における受付番号、暗証番号、払戻金額および受領権限者ＩＤといずれも一致すること。</w:t>
      </w:r>
    </w:p>
    <w:p w:rsidR="00234547" w:rsidRPr="004E1279" w:rsidRDefault="00234547" w:rsidP="00835978">
      <w:pPr>
        <w:spacing w:line="440" w:lineRule="exact"/>
        <w:ind w:left="364" w:hanging="364"/>
      </w:pPr>
      <w:r w:rsidRPr="000A7FA1">
        <w:rPr>
          <w:rFonts w:ascii="游明朝" w:hAnsi="游明朝" w:hint="eastAsia"/>
          <w:kern w:val="0"/>
          <w:szCs w:val="24"/>
        </w:rPr>
        <w:t>（２）の２　払戻を受ける者が、日本銀行に申出る現金の払戻金額の合計金額、券種別施封別の銀行券の内訳金額および貨種別の貨幣の内訳金額が、第２条の２第４項の２により日本銀行に通知したものといずれも一致すること。</w:t>
      </w:r>
    </w:p>
    <w:p w:rsidR="00835978" w:rsidRPr="007F27B9" w:rsidRDefault="00835978" w:rsidP="00835978">
      <w:pPr>
        <w:spacing w:line="440" w:lineRule="exact"/>
        <w:ind w:left="364" w:hanging="364"/>
      </w:pPr>
      <w:r w:rsidRPr="007F27B9">
        <w:rPr>
          <w:rFonts w:hint="eastAsia"/>
        </w:rPr>
        <w:t>（</w:t>
      </w:r>
      <w:r w:rsidR="00E20D8A">
        <w:rPr>
          <w:rFonts w:hint="eastAsia"/>
        </w:rPr>
        <w:t>３</w:t>
      </w:r>
      <w:r w:rsidRPr="007F27B9">
        <w:rPr>
          <w:rFonts w:hint="eastAsia"/>
        </w:rPr>
        <w:t>）払戻を受ける総ての者について、あらかじめ届出を受けた顔写真により、</w:t>
      </w:r>
      <w:r w:rsidR="004E1279" w:rsidRPr="004E1279">
        <w:rPr>
          <w:rFonts w:hint="eastAsia"/>
        </w:rPr>
        <w:t>日本銀行が別に定める方法により日本銀行に申出る</w:t>
      </w:r>
      <w:r w:rsidRPr="007F27B9">
        <w:rPr>
          <w:rFonts w:hint="eastAsia"/>
        </w:rPr>
        <w:t>受領権限者ＩＤにかかる受領権限者およびその補助者であると認められること。</w:t>
      </w:r>
    </w:p>
    <w:p w:rsidR="00835978" w:rsidRPr="007F27B9" w:rsidRDefault="00835978" w:rsidP="00835978">
      <w:pPr>
        <w:spacing w:line="440" w:lineRule="exact"/>
        <w:ind w:left="364" w:hanging="364"/>
      </w:pPr>
      <w:r w:rsidRPr="007F27B9">
        <w:rPr>
          <w:rFonts w:hint="eastAsia"/>
        </w:rPr>
        <w:t>（</w:t>
      </w:r>
      <w:r w:rsidR="00E20D8A">
        <w:rPr>
          <w:rFonts w:hint="eastAsia"/>
        </w:rPr>
        <w:t>４</w:t>
      </w:r>
      <w:r w:rsidRPr="007F27B9">
        <w:rPr>
          <w:rFonts w:hint="eastAsia"/>
        </w:rPr>
        <w:t>）払戻を受ける総ての者について、容態その他について懸念すべき特段の事情がないと認められること。</w:t>
      </w:r>
    </w:p>
    <w:p w:rsidR="00835978" w:rsidRDefault="00835978" w:rsidP="00835978">
      <w:pPr>
        <w:spacing w:line="440" w:lineRule="exact"/>
        <w:ind w:left="238" w:hanging="238"/>
      </w:pPr>
      <w:r w:rsidRPr="007F27B9">
        <w:rPr>
          <w:rFonts w:hint="eastAsia"/>
        </w:rPr>
        <w:t>２．日本銀行は、相当の注意をもって前項各号に掲げる事項を確認のうえオンライン取引先の当座勘定の払戻を行った場合には、その払戻を受けた者が真正な権利者でなかったことによって生じた損害については、責任を負わない。</w:t>
      </w:r>
    </w:p>
    <w:p w:rsidR="00462689" w:rsidRPr="00462689" w:rsidRDefault="00462689" w:rsidP="00462689">
      <w:pPr>
        <w:spacing w:line="440" w:lineRule="exact"/>
        <w:ind w:left="238" w:hanging="238"/>
      </w:pPr>
      <w:r w:rsidRPr="00462689">
        <w:rPr>
          <w:rFonts w:hint="eastAsia"/>
        </w:rPr>
        <w:t>（日銀ネットによる新規発行国債にかかる払込金についての依頼を処理する時期）</w:t>
      </w:r>
    </w:p>
    <w:p w:rsidR="00462689" w:rsidRPr="00462689" w:rsidRDefault="00462689" w:rsidP="00462689">
      <w:pPr>
        <w:spacing w:line="440" w:lineRule="atLeast"/>
        <w:ind w:left="238" w:hanging="238"/>
      </w:pPr>
      <w:r w:rsidRPr="00462689">
        <w:rPr>
          <w:rFonts w:hint="eastAsia"/>
        </w:rPr>
        <w:t>第４条の５　日本銀行は、第２条の４第１項に規定する依頼を受付けた場合には、遅滞なくその引落および支払を行う。この場合において、当該依頼は、日本銀行が別に定める時刻までに行うものとする。</w:t>
      </w:r>
    </w:p>
    <w:p w:rsidR="00FD71EC" w:rsidRDefault="00FD71EC">
      <w:pPr>
        <w:spacing w:line="440" w:lineRule="exact"/>
        <w:ind w:left="238" w:hanging="238"/>
        <w:rPr>
          <w:rFonts w:ascii="?l?r ??fc"/>
        </w:rPr>
      </w:pPr>
      <w:r>
        <w:rPr>
          <w:rFonts w:hint="eastAsia"/>
        </w:rPr>
        <w:t>（日銀ネットによるその他の依頼を処理する時期）</w:t>
      </w:r>
    </w:p>
    <w:p w:rsidR="00FD71EC" w:rsidRDefault="00FD71EC">
      <w:pPr>
        <w:spacing w:line="440" w:lineRule="exact"/>
        <w:ind w:left="238" w:hanging="238"/>
        <w:rPr>
          <w:rFonts w:ascii="?l?r ??fc"/>
        </w:rPr>
      </w:pPr>
      <w:r>
        <w:rPr>
          <w:rFonts w:hint="eastAsia"/>
        </w:rPr>
        <w:t xml:space="preserve">第５条　</w:t>
      </w:r>
      <w:r w:rsidR="00462689">
        <w:rPr>
          <w:rFonts w:hint="eastAsia"/>
        </w:rPr>
        <w:t>日本銀行</w:t>
      </w:r>
      <w:r>
        <w:rPr>
          <w:rFonts w:hint="eastAsia"/>
        </w:rPr>
        <w:t>は、第３条に規定する依頼</w:t>
      </w:r>
      <w:r w:rsidR="00462689" w:rsidRPr="00462689">
        <w:rPr>
          <w:rFonts w:hint="eastAsia"/>
        </w:rPr>
        <w:t>を受付けた場合には、遅滞なくその引落および支払を行う</w:t>
      </w:r>
      <w:r>
        <w:rPr>
          <w:rFonts w:hint="eastAsia"/>
        </w:rPr>
        <w:t>。この場合において、当該依頼は、日本銀行が別に定める時刻までに行うものとする。</w:t>
      </w:r>
    </w:p>
    <w:p w:rsidR="00FD71EC" w:rsidRDefault="00FD71EC">
      <w:pPr>
        <w:spacing w:line="440" w:lineRule="exact"/>
        <w:ind w:left="238" w:hanging="238"/>
        <w:rPr>
          <w:rFonts w:ascii="?l?r ??fc"/>
        </w:rPr>
      </w:pPr>
      <w:r>
        <w:rPr>
          <w:rFonts w:hint="eastAsia"/>
        </w:rPr>
        <w:t>（事務処理の通知）</w:t>
      </w:r>
    </w:p>
    <w:p w:rsidR="00FD71EC" w:rsidRDefault="00FD71EC">
      <w:pPr>
        <w:spacing w:line="440" w:lineRule="exact"/>
        <w:ind w:left="238" w:hanging="238"/>
        <w:rPr>
          <w:rFonts w:ascii="?l?r ??fc"/>
        </w:rPr>
      </w:pPr>
      <w:r>
        <w:rPr>
          <w:rFonts w:hint="eastAsia"/>
        </w:rPr>
        <w:t>第６条　日本銀行は、オンライン取引先の当座勘定の入金または引落を行うべき場合、当該入金または引落を行った場合その他の場合において、日本銀行が別に定めるときは、当該オンライン取引先に対し、日銀ネットによりその旨を通知する。</w:t>
      </w:r>
    </w:p>
    <w:p w:rsidR="00FD71EC" w:rsidRDefault="00FD71EC">
      <w:pPr>
        <w:spacing w:line="440" w:lineRule="exact"/>
        <w:ind w:left="238" w:hanging="238"/>
      </w:pPr>
      <w:r>
        <w:rPr>
          <w:rFonts w:hint="eastAsia"/>
        </w:rPr>
        <w:t>２．前項の規定による通知にかかる入金または引落に関する依頼を行ったオンライン取引先は、当該通知の内容について異議のある場合には、直ちに日本銀行にその旨を連絡するものとする。</w:t>
      </w:r>
    </w:p>
    <w:p w:rsidR="00FD71EC" w:rsidRDefault="00FD71EC">
      <w:pPr>
        <w:spacing w:line="440" w:lineRule="exact"/>
        <w:ind w:left="238" w:hanging="238"/>
        <w:rPr>
          <w:rFonts w:ascii="?l?r ??fc"/>
        </w:rPr>
      </w:pPr>
      <w:r>
        <w:rPr>
          <w:rFonts w:hint="eastAsia"/>
        </w:rPr>
        <w:t>（照会）</w:t>
      </w:r>
    </w:p>
    <w:p w:rsidR="00FD71EC" w:rsidRDefault="00FD71EC">
      <w:pPr>
        <w:spacing w:line="440" w:lineRule="exact"/>
        <w:ind w:left="238" w:hanging="238"/>
        <w:rPr>
          <w:rFonts w:ascii="?l?r ??fc"/>
        </w:rPr>
      </w:pPr>
      <w:r>
        <w:rPr>
          <w:rFonts w:hint="eastAsia"/>
        </w:rPr>
        <w:t>第７条　オンライン取引先は、その当座勘定取引にかかる事項で日本銀行が別に定めるものについては、日銀ネットを利用して照会することができる。</w:t>
      </w:r>
    </w:p>
    <w:p w:rsidR="00FD71EC" w:rsidRPr="00192852" w:rsidRDefault="00FD71EC">
      <w:pPr>
        <w:spacing w:line="440" w:lineRule="exact"/>
        <w:ind w:left="238" w:hanging="238"/>
      </w:pPr>
      <w:r>
        <w:rPr>
          <w:rFonts w:hint="eastAsia"/>
        </w:rPr>
        <w:t xml:space="preserve">第８条　</w:t>
      </w:r>
      <w:r w:rsidR="002E5D97">
        <w:rPr>
          <w:rFonts w:hint="eastAsia"/>
        </w:rPr>
        <w:t>削除</w:t>
      </w:r>
    </w:p>
    <w:p w:rsidR="00FD71EC" w:rsidRDefault="00FD71EC">
      <w:pPr>
        <w:spacing w:line="440" w:lineRule="exact"/>
        <w:ind w:left="238" w:hanging="238"/>
        <w:rPr>
          <w:rFonts w:ascii="?l?r ??fc"/>
        </w:rPr>
      </w:pPr>
      <w:r>
        <w:rPr>
          <w:rFonts w:hint="eastAsia"/>
        </w:rPr>
        <w:t>（手数料の支払義務）</w:t>
      </w:r>
    </w:p>
    <w:p w:rsidR="00FD71EC" w:rsidRDefault="00FD71EC">
      <w:pPr>
        <w:spacing w:line="440" w:lineRule="exact"/>
        <w:ind w:left="238" w:hanging="238"/>
        <w:rPr>
          <w:rFonts w:ascii="?l?r ??fc"/>
        </w:rPr>
      </w:pPr>
      <w:r>
        <w:rPr>
          <w:rFonts w:hint="eastAsia"/>
        </w:rPr>
        <w:t>第９条　日本銀行との間で当座勘定取引についての日本銀行金融ネットワークシステムの利用に関する特約（以下「特約」という。）を結んだ者（以下「特約先」という。）は、当座勘定取引についての日銀ネットの利用に関して日本銀行が別に定める手数料を、日本銀行が別に定める方法により支払うものとする。</w:t>
      </w:r>
    </w:p>
    <w:p w:rsidR="00FD71EC" w:rsidRDefault="00FD71EC">
      <w:pPr>
        <w:spacing w:line="440" w:lineRule="exact"/>
        <w:ind w:left="238" w:hanging="238"/>
        <w:rPr>
          <w:rFonts w:ascii="?l?r ??fc"/>
        </w:rPr>
      </w:pPr>
      <w:r>
        <w:rPr>
          <w:rFonts w:hint="eastAsia"/>
        </w:rPr>
        <w:t>（日銀ネット障害時等の取扱い）</w:t>
      </w:r>
    </w:p>
    <w:p w:rsidR="00FD71EC" w:rsidRDefault="00FD71EC">
      <w:pPr>
        <w:autoSpaceDE w:val="0"/>
        <w:autoSpaceDN w:val="0"/>
        <w:spacing w:line="440" w:lineRule="exact"/>
        <w:ind w:left="238" w:hanging="238"/>
        <w:rPr>
          <w:rFonts w:ascii="?l?r ??fc"/>
        </w:rPr>
      </w:pPr>
      <w:r>
        <w:rPr>
          <w:rFonts w:ascii="ＭＳ 明朝" w:hAnsi="ＭＳ 明朝" w:hint="eastAsia"/>
        </w:rPr>
        <w:t>第10条</w:t>
      </w:r>
      <w:r>
        <w:rPr>
          <w:rFonts w:hint="eastAsia"/>
        </w:rPr>
        <w:t xml:space="preserve">　日本銀行は、日銀ネットの障害等によりこの規則の規定による取扱いができないと認めた場合には、この規則の規定と異なる取扱いをし、または特約先にこの規則の規定と異なる取扱いを指示することができる。</w:t>
      </w:r>
    </w:p>
    <w:p w:rsidR="00FD71EC" w:rsidRDefault="00FD71EC">
      <w:pPr>
        <w:spacing w:line="440" w:lineRule="exact"/>
        <w:ind w:left="238" w:hanging="238"/>
        <w:rPr>
          <w:rFonts w:ascii="?l?r ??fc"/>
        </w:rPr>
      </w:pPr>
      <w:r>
        <w:rPr>
          <w:rFonts w:hint="eastAsia"/>
        </w:rPr>
        <w:t>（所要事項の決定等）</w:t>
      </w:r>
    </w:p>
    <w:p w:rsidR="00FD71EC" w:rsidRDefault="00FD71EC">
      <w:pPr>
        <w:autoSpaceDE w:val="0"/>
        <w:autoSpaceDN w:val="0"/>
        <w:spacing w:line="440" w:lineRule="exact"/>
        <w:ind w:left="238" w:hanging="238"/>
        <w:rPr>
          <w:rFonts w:ascii="?l?r ??fc"/>
        </w:rPr>
      </w:pPr>
      <w:r>
        <w:rPr>
          <w:rFonts w:ascii="ＭＳ 明朝" w:hAnsi="ＭＳ 明朝" w:hint="eastAsia"/>
        </w:rPr>
        <w:t>第11条</w:t>
      </w:r>
      <w:r>
        <w:rPr>
          <w:rFonts w:hint="eastAsia"/>
        </w:rPr>
        <w:t xml:space="preserve">　日本銀行は、当座勘定取引についての日銀ネットの適切な利用を確保するため、この規則に定めるもののほか、所要の事項を定め、または所要の措置を講じることができる。</w:t>
      </w:r>
    </w:p>
    <w:p w:rsidR="00FD71EC" w:rsidRDefault="00FD71EC">
      <w:pPr>
        <w:spacing w:line="440" w:lineRule="exact"/>
        <w:ind w:left="238" w:hanging="238"/>
        <w:rPr>
          <w:rFonts w:ascii="?l?r ??fc"/>
        </w:rPr>
      </w:pPr>
      <w:r>
        <w:rPr>
          <w:rFonts w:hint="eastAsia"/>
        </w:rPr>
        <w:t>（解約等）</w:t>
      </w:r>
    </w:p>
    <w:p w:rsidR="00FD71EC" w:rsidRDefault="00FD71EC">
      <w:pPr>
        <w:autoSpaceDE w:val="0"/>
        <w:autoSpaceDN w:val="0"/>
        <w:spacing w:line="440" w:lineRule="exact"/>
        <w:ind w:left="238" w:hanging="238"/>
        <w:rPr>
          <w:rFonts w:ascii="?l?r ??fc"/>
        </w:rPr>
      </w:pPr>
      <w:r>
        <w:rPr>
          <w:rFonts w:ascii="ＭＳ 明朝" w:hAnsi="ＭＳ 明朝" w:hint="eastAsia"/>
        </w:rPr>
        <w:t>第12条</w:t>
      </w:r>
      <w:r>
        <w:rPr>
          <w:rFonts w:hint="eastAsia"/>
        </w:rPr>
        <w:t xml:space="preserve">　日本銀行または特約先は、２か月の予告期間をもって特約を解約することができる。当該解約のための意思表示は、書面により行うものとする。</w:t>
      </w:r>
    </w:p>
    <w:p w:rsidR="00FD71EC" w:rsidRDefault="00FD71EC">
      <w:pPr>
        <w:spacing w:line="440" w:lineRule="exact"/>
        <w:ind w:left="238" w:hanging="238"/>
        <w:rPr>
          <w:rFonts w:ascii="?l?r ??fc"/>
        </w:rPr>
      </w:pPr>
      <w:r>
        <w:rPr>
          <w:rFonts w:hint="eastAsia"/>
        </w:rPr>
        <w:t>２．日本銀行は、次の各号の一に該当する場合には、直ちに当該特約先との特約を解約し、または当該特約先による振替依頼</w:t>
      </w:r>
      <w:r w:rsidR="00835978" w:rsidRPr="000B775F">
        <w:rPr>
          <w:rFonts w:hint="eastAsia"/>
        </w:rPr>
        <w:t>、第２条の２に規定する払戻の請求</w:t>
      </w:r>
      <w:r>
        <w:rPr>
          <w:rFonts w:hint="eastAsia"/>
        </w:rPr>
        <w:t>および第３条に規定する依頼のための日銀ネットの利用を一定期間制限することができる。</w:t>
      </w:r>
    </w:p>
    <w:p w:rsidR="00FD71EC" w:rsidRDefault="00FD71EC">
      <w:pPr>
        <w:spacing w:line="440" w:lineRule="exact"/>
        <w:ind w:left="364" w:hanging="364"/>
        <w:rPr>
          <w:rFonts w:ascii="?l?r ??fc"/>
        </w:rPr>
      </w:pPr>
      <w:r>
        <w:rPr>
          <w:rFonts w:hint="eastAsia"/>
        </w:rPr>
        <w:t>（１）特約先がこの規則に違反したとき。</w:t>
      </w:r>
    </w:p>
    <w:p w:rsidR="00FD71EC" w:rsidRDefault="00FD71EC">
      <w:pPr>
        <w:spacing w:line="440" w:lineRule="exact"/>
        <w:ind w:left="364" w:hanging="364"/>
        <w:rPr>
          <w:rFonts w:ascii="?l?r ??fc"/>
        </w:rPr>
      </w:pPr>
      <w:r>
        <w:rPr>
          <w:rFonts w:hint="eastAsia"/>
        </w:rPr>
        <w:t>（２）特約先が第１０条の規定により日本銀行が指示した事項に違反したとき。</w:t>
      </w:r>
    </w:p>
    <w:p w:rsidR="00FD71EC" w:rsidRDefault="00FD71EC">
      <w:pPr>
        <w:spacing w:line="440" w:lineRule="exact"/>
        <w:ind w:left="364" w:hanging="364"/>
        <w:rPr>
          <w:rFonts w:ascii="?l?r ??fc"/>
        </w:rPr>
      </w:pPr>
      <w:r>
        <w:rPr>
          <w:rFonts w:hint="eastAsia"/>
        </w:rPr>
        <w:t>（３）特約先が前条の規定により日本銀行が定めた事項に違反したとき。</w:t>
      </w:r>
    </w:p>
    <w:p w:rsidR="00FD71EC" w:rsidRDefault="00FD71EC">
      <w:pPr>
        <w:spacing w:line="440" w:lineRule="exact"/>
        <w:ind w:left="364" w:hanging="364"/>
        <w:rPr>
          <w:rFonts w:ascii="?l?r ??fc"/>
        </w:rPr>
      </w:pPr>
      <w:r>
        <w:rPr>
          <w:rFonts w:hint="eastAsia"/>
        </w:rPr>
        <w:t>（４）当座勘定規定第１９条第２項各号に掲げるいずれかのとき。</w:t>
      </w:r>
    </w:p>
    <w:p w:rsidR="00FD71EC" w:rsidRDefault="00FD71EC">
      <w:pPr>
        <w:spacing w:line="440" w:lineRule="exact"/>
        <w:ind w:left="364" w:hanging="364"/>
        <w:rPr>
          <w:rFonts w:ascii="?l?r ??fc"/>
        </w:rPr>
      </w:pPr>
      <w:r>
        <w:rPr>
          <w:rFonts w:hint="eastAsia"/>
        </w:rPr>
        <w:t>（５）特約先が日本銀行金融ネットワークシステム利用基本規則（以下「利用基本規則」という。）に違反したとき。</w:t>
      </w:r>
    </w:p>
    <w:p w:rsidR="00FD71EC" w:rsidRDefault="00FD71EC">
      <w:pPr>
        <w:spacing w:line="440" w:lineRule="exact"/>
        <w:ind w:left="364" w:hanging="364"/>
        <w:rPr>
          <w:rFonts w:ascii="?l?r ??fc"/>
        </w:rPr>
      </w:pPr>
      <w:r>
        <w:rPr>
          <w:rFonts w:hint="eastAsia"/>
        </w:rPr>
        <w:t>（６）特約先が利用基本規則第１０条の規定により日本銀行が指示した事項に違反したとき。</w:t>
      </w:r>
    </w:p>
    <w:p w:rsidR="00FD71EC" w:rsidRDefault="00FD71EC">
      <w:pPr>
        <w:spacing w:line="440" w:lineRule="exact"/>
        <w:ind w:left="364" w:hanging="364"/>
        <w:rPr>
          <w:rFonts w:ascii="?l?r ??fc"/>
        </w:rPr>
      </w:pPr>
      <w:r>
        <w:rPr>
          <w:rFonts w:hint="eastAsia"/>
        </w:rPr>
        <w:t>（７）特約先が利用基本規則第１１条の規定により日本銀行が定めた事項に違反したとき。</w:t>
      </w:r>
    </w:p>
    <w:p w:rsidR="00FD71EC" w:rsidRDefault="00FD71EC">
      <w:pPr>
        <w:spacing w:line="440" w:lineRule="exact"/>
        <w:ind w:left="364" w:hanging="364"/>
        <w:rPr>
          <w:rFonts w:ascii="?l?r ??fc"/>
        </w:rPr>
      </w:pPr>
      <w:r>
        <w:rPr>
          <w:rFonts w:hint="eastAsia"/>
        </w:rPr>
        <w:t>（８）その他当座勘定取引についての日銀ネットの円滑な利用を阻害するおそれがあると日本銀行が認めたとき。</w:t>
      </w:r>
    </w:p>
    <w:p w:rsidR="00FD71EC" w:rsidRDefault="00FD71EC">
      <w:pPr>
        <w:spacing w:line="440" w:lineRule="exact"/>
        <w:ind w:left="238" w:hanging="238"/>
        <w:rPr>
          <w:rFonts w:ascii="?l?r ??fc"/>
        </w:rPr>
      </w:pPr>
      <w:r>
        <w:rPr>
          <w:rFonts w:hint="eastAsia"/>
        </w:rPr>
        <w:t>（規則の改正）</w:t>
      </w:r>
    </w:p>
    <w:p w:rsidR="00FD71EC" w:rsidRDefault="00FD71EC">
      <w:pPr>
        <w:autoSpaceDE w:val="0"/>
        <w:autoSpaceDN w:val="0"/>
        <w:spacing w:line="440" w:lineRule="exact"/>
        <w:ind w:left="238" w:hanging="238"/>
        <w:rPr>
          <w:rFonts w:ascii="?l?r ??fc"/>
          <w:sz w:val="26"/>
        </w:rPr>
      </w:pPr>
      <w:r>
        <w:rPr>
          <w:rFonts w:ascii="ＭＳ 明朝" w:hAnsi="ＭＳ 明朝" w:hint="eastAsia"/>
        </w:rPr>
        <w:t>第13条</w:t>
      </w:r>
      <w:r>
        <w:rPr>
          <w:rFonts w:hint="eastAsia"/>
        </w:rPr>
        <w:t xml:space="preserve">　日本銀行は、当座勘定取引についての日銀ネットの適切な利用を確保するため、必要ある場合は、この規則を改正することができる。</w:t>
      </w:r>
    </w:p>
    <w:sectPr w:rsidR="00FD71EC" w:rsidSect="005D3C2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503" w:bottom="1985" w:left="1503" w:header="851" w:footer="992" w:gutter="0"/>
      <w:pgNumType w:start="1"/>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D4" w:rsidRDefault="00A169D4">
      <w:r>
        <w:separator/>
      </w:r>
    </w:p>
  </w:endnote>
  <w:endnote w:type="continuationSeparator" w:id="0">
    <w:p w:rsidR="00A169D4" w:rsidRDefault="00A1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2A" w:rsidRDefault="005D3C2A" w:rsidP="00FD71E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90</w:t>
    </w:r>
    <w:r>
      <w:rPr>
        <w:rStyle w:val="a4"/>
      </w:rPr>
      <w:fldChar w:fldCharType="end"/>
    </w:r>
  </w:p>
  <w:p w:rsidR="00FD71EC" w:rsidRDefault="00FD71EC">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EC" w:rsidRPr="00835978" w:rsidRDefault="00835978" w:rsidP="00835978">
    <w:pPr>
      <w:pStyle w:val="a3"/>
      <w:autoSpaceDE w:val="0"/>
      <w:autoSpaceDN w:val="0"/>
      <w:jc w:val="center"/>
      <w:rPr>
        <w:rFonts w:ascii="ＭＳ 明朝" w:hAnsi="ＭＳ 明朝"/>
        <w:sz w:val="21"/>
        <w:szCs w:val="21"/>
      </w:rPr>
    </w:pPr>
    <w:r w:rsidRPr="005D3C2A">
      <w:rPr>
        <w:rStyle w:val="a4"/>
        <w:rFonts w:ascii="ＭＳ 明朝" w:hAnsi="ＭＳ 明朝"/>
        <w:sz w:val="21"/>
        <w:szCs w:val="21"/>
      </w:rPr>
      <w:fldChar w:fldCharType="begin"/>
    </w:r>
    <w:r w:rsidRPr="005D3C2A">
      <w:rPr>
        <w:rStyle w:val="a4"/>
        <w:rFonts w:ascii="ＭＳ 明朝" w:hAnsi="ＭＳ 明朝"/>
        <w:sz w:val="21"/>
        <w:szCs w:val="21"/>
      </w:rPr>
      <w:instrText xml:space="preserve">PAGE  </w:instrText>
    </w:r>
    <w:r w:rsidRPr="005D3C2A">
      <w:rPr>
        <w:rStyle w:val="a4"/>
        <w:rFonts w:ascii="ＭＳ 明朝" w:hAnsi="ＭＳ 明朝"/>
        <w:sz w:val="21"/>
        <w:szCs w:val="21"/>
      </w:rPr>
      <w:fldChar w:fldCharType="separate"/>
    </w:r>
    <w:r w:rsidR="00FA0618">
      <w:rPr>
        <w:rStyle w:val="a4"/>
        <w:rFonts w:ascii="ＭＳ 明朝" w:hAnsi="ＭＳ 明朝"/>
        <w:noProof/>
        <w:sz w:val="21"/>
        <w:szCs w:val="21"/>
      </w:rPr>
      <w:t>1</w:t>
    </w:r>
    <w:r w:rsidRPr="005D3C2A">
      <w:rPr>
        <w:rStyle w:val="a4"/>
        <w:rFonts w:ascii="ＭＳ 明朝" w:hAnsi="ＭＳ 明朝"/>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18" w:rsidRDefault="00FA06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D4" w:rsidRDefault="00A169D4">
      <w:r>
        <w:separator/>
      </w:r>
    </w:p>
  </w:footnote>
  <w:footnote w:type="continuationSeparator" w:id="0">
    <w:p w:rsidR="00A169D4" w:rsidRDefault="00A1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18" w:rsidRDefault="00FA06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18" w:rsidRDefault="00FA061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18" w:rsidRDefault="00FA06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C03"/>
    <w:multiLevelType w:val="singleLevel"/>
    <w:tmpl w:val="9196B774"/>
    <w:lvl w:ilvl="0">
      <w:start w:val="1"/>
      <w:numFmt w:val="decimal"/>
      <w:lvlText w:val="注%1."/>
      <w:lvlJc w:val="left"/>
      <w:pPr>
        <w:tabs>
          <w:tab w:val="num" w:pos="600"/>
        </w:tabs>
        <w:ind w:left="60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240"/>
  <w:displayHorizontalDrawingGridEvery w:val="0"/>
  <w:displayVerticalDrawingGridEvery w:val="2"/>
  <w:noPunctuationKerning/>
  <w:characterSpacingControl w:val="doNotCompress"/>
  <w:strictFirstAndLastChars/>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2A"/>
    <w:rsid w:val="00076957"/>
    <w:rsid w:val="00097B13"/>
    <w:rsid w:val="000A7FA1"/>
    <w:rsid w:val="00135584"/>
    <w:rsid w:val="001409E4"/>
    <w:rsid w:val="00151B42"/>
    <w:rsid w:val="00160AB9"/>
    <w:rsid w:val="001675CD"/>
    <w:rsid w:val="00176432"/>
    <w:rsid w:val="00192852"/>
    <w:rsid w:val="001C17B6"/>
    <w:rsid w:val="00213C0D"/>
    <w:rsid w:val="00234547"/>
    <w:rsid w:val="0024319C"/>
    <w:rsid w:val="002E525F"/>
    <w:rsid w:val="002E5D97"/>
    <w:rsid w:val="003447A9"/>
    <w:rsid w:val="00347203"/>
    <w:rsid w:val="003743B0"/>
    <w:rsid w:val="004223C9"/>
    <w:rsid w:val="00462689"/>
    <w:rsid w:val="004813C2"/>
    <w:rsid w:val="00487F86"/>
    <w:rsid w:val="004C71E7"/>
    <w:rsid w:val="004E1279"/>
    <w:rsid w:val="00500270"/>
    <w:rsid w:val="00501D61"/>
    <w:rsid w:val="005773C1"/>
    <w:rsid w:val="005A4844"/>
    <w:rsid w:val="005D3C2A"/>
    <w:rsid w:val="0076607A"/>
    <w:rsid w:val="007A0094"/>
    <w:rsid w:val="007A2C90"/>
    <w:rsid w:val="007C580E"/>
    <w:rsid w:val="007E07CA"/>
    <w:rsid w:val="00835978"/>
    <w:rsid w:val="00896F90"/>
    <w:rsid w:val="00923F15"/>
    <w:rsid w:val="00A033F5"/>
    <w:rsid w:val="00A169D4"/>
    <w:rsid w:val="00A1702B"/>
    <w:rsid w:val="00A6012B"/>
    <w:rsid w:val="00A95565"/>
    <w:rsid w:val="00BE24A3"/>
    <w:rsid w:val="00C241E3"/>
    <w:rsid w:val="00C3267C"/>
    <w:rsid w:val="00CF34FF"/>
    <w:rsid w:val="00D45BCE"/>
    <w:rsid w:val="00D95E29"/>
    <w:rsid w:val="00DA730B"/>
    <w:rsid w:val="00DF39FD"/>
    <w:rsid w:val="00E20D8A"/>
    <w:rsid w:val="00E668F9"/>
    <w:rsid w:val="00E72271"/>
    <w:rsid w:val="00EA2E0A"/>
    <w:rsid w:val="00EE1AD7"/>
    <w:rsid w:val="00EE55A3"/>
    <w:rsid w:val="00EF36A0"/>
    <w:rsid w:val="00FA0618"/>
    <w:rsid w:val="00FA11BD"/>
    <w:rsid w:val="00FD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uiPriority w:val="99"/>
    <w:semiHidden/>
    <w:unhideWhenUsed/>
    <w:rsid w:val="00EF36A0"/>
    <w:rPr>
      <w:rFonts w:ascii="Arial" w:eastAsia="ＭＳ ゴシック" w:hAnsi="Arial"/>
      <w:sz w:val="18"/>
      <w:szCs w:val="18"/>
    </w:rPr>
  </w:style>
  <w:style w:type="character" w:customStyle="1" w:styleId="a7">
    <w:name w:val="吹き出し (文字)"/>
    <w:link w:val="a6"/>
    <w:uiPriority w:val="99"/>
    <w:semiHidden/>
    <w:rsid w:val="00EF36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6874">
      <w:bodyDiv w:val="1"/>
      <w:marLeft w:val="0"/>
      <w:marRight w:val="0"/>
      <w:marTop w:val="0"/>
      <w:marBottom w:val="0"/>
      <w:divBdr>
        <w:top w:val="none" w:sz="0" w:space="0" w:color="auto"/>
        <w:left w:val="none" w:sz="0" w:space="0" w:color="auto"/>
        <w:bottom w:val="none" w:sz="0" w:space="0" w:color="auto"/>
        <w:right w:val="none" w:sz="0" w:space="0" w:color="auto"/>
      </w:divBdr>
    </w:div>
    <w:div w:id="19247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2022-08-03T03:10:00Z</dcterms:created>
  <dcterms:modified xsi:type="dcterms:W3CDTF">2022-08-03T03:10:00Z</dcterms:modified>
</cp:coreProperties>
</file>